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B365" w14:textId="77777777" w:rsidR="002B1ECC" w:rsidRPr="002B1ECC" w:rsidRDefault="002B1ECC" w:rsidP="002E637F">
      <w:pPr>
        <w:jc w:val="center"/>
        <w:rPr>
          <w:rFonts w:ascii="Gill Sans MT" w:hAnsi="Gill Sans MT"/>
          <w:noProof/>
        </w:rPr>
      </w:pPr>
      <w:r w:rsidRPr="002B1ECC">
        <w:rPr>
          <w:rFonts w:ascii="Gill Sans MT" w:hAnsi="Gill Sans MT"/>
          <w:noProof/>
          <w:lang w:val="en-US"/>
        </w:rPr>
        <w:drawing>
          <wp:inline distT="0" distB="0" distL="0" distR="0" wp14:anchorId="71EA805D" wp14:editId="6069845F">
            <wp:extent cx="3863211" cy="896264"/>
            <wp:effectExtent l="19050" t="19050" r="23495" b="18415"/>
            <wp:docPr id="1978784506" name="Picture 197878450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39623E4A" w14:textId="58DF5368" w:rsidR="002E637F" w:rsidRPr="002B1ECC" w:rsidRDefault="002E637F" w:rsidP="002E637F">
      <w:pPr>
        <w:jc w:val="center"/>
        <w:rPr>
          <w:rFonts w:ascii="Gill Sans MT" w:hAnsi="Gill Sans MT"/>
        </w:rPr>
      </w:pPr>
      <w:r w:rsidRPr="002B1ECC">
        <w:rPr>
          <w:rFonts w:ascii="Gill Sans MT" w:hAnsi="Gill Sans MT"/>
        </w:rPr>
        <w:br/>
      </w:r>
    </w:p>
    <w:p w14:paraId="08FC7753" w14:textId="77777777" w:rsidR="002E637F" w:rsidRPr="002B1ECC" w:rsidRDefault="002E637F" w:rsidP="00B37946">
      <w:pPr>
        <w:jc w:val="both"/>
        <w:rPr>
          <w:rFonts w:ascii="Gill Sans MT" w:eastAsia="Gill Sans MT" w:hAnsi="Gill Sans MT" w:cs="Gill Sans MT"/>
          <w:sz w:val="28"/>
          <w:szCs w:val="28"/>
        </w:rPr>
      </w:pPr>
      <w:r w:rsidRPr="002B1ECC">
        <w:rPr>
          <w:rFonts w:ascii="Gill Sans MT" w:eastAsia="Gill Sans MT" w:hAnsi="Gill Sans MT" w:cs="Gill Sans MT"/>
          <w:b/>
          <w:bCs/>
          <w:sz w:val="28"/>
          <w:szCs w:val="28"/>
        </w:rPr>
        <w:t xml:space="preserve">LISA MITCHELL. </w:t>
      </w:r>
      <w:r w:rsidRPr="002B1ECC">
        <w:rPr>
          <w:rFonts w:ascii="Gill Sans MT" w:eastAsia="Gill Sans MT" w:hAnsi="Gill Sans MT" w:cs="Gill Sans MT"/>
          <w:i/>
          <w:iCs/>
          <w:sz w:val="28"/>
          <w:szCs w:val="28"/>
        </w:rPr>
        <w:t xml:space="preserve">HAILING THE STATE. </w:t>
      </w:r>
      <w:r w:rsidRPr="002B1ECC">
        <w:rPr>
          <w:rFonts w:ascii="Gill Sans MT" w:eastAsia="Gill Sans MT" w:hAnsi="Gill Sans MT" w:cs="Gill Sans MT"/>
          <w:sz w:val="28"/>
          <w:szCs w:val="28"/>
        </w:rPr>
        <w:t>DURHAM: DUKE UNIVERSITY PRESS 2023. 320 P. ISBN: 9781478018766</w:t>
      </w:r>
    </w:p>
    <w:p w14:paraId="587A67D8" w14:textId="77777777" w:rsidR="002E637F" w:rsidRPr="002B1ECC" w:rsidRDefault="002E637F" w:rsidP="002E637F">
      <w:pPr>
        <w:rPr>
          <w:rFonts w:ascii="Gill Sans MT" w:eastAsia="Gill Sans MT" w:hAnsi="Gill Sans MT" w:cs="Gill Sans MT"/>
        </w:rPr>
      </w:pPr>
    </w:p>
    <w:p w14:paraId="6AEEA840" w14:textId="77777777" w:rsidR="002E637F" w:rsidRPr="002B1ECC" w:rsidRDefault="002E637F" w:rsidP="002E637F">
      <w:pPr>
        <w:jc w:val="center"/>
        <w:rPr>
          <w:rFonts w:ascii="Gill Sans MT" w:eastAsia="Gill Sans MT" w:hAnsi="Gill Sans MT" w:cs="Gill Sans MT"/>
        </w:rPr>
      </w:pPr>
      <w:r w:rsidRPr="002B1ECC">
        <w:rPr>
          <w:rFonts w:ascii="Gill Sans MT" w:eastAsia="Gill Sans MT" w:hAnsi="Gill Sans MT" w:cs="Gill Sans MT"/>
          <w:sz w:val="28"/>
          <w:szCs w:val="28"/>
        </w:rPr>
        <w:t>HARISH GOUTAM</w:t>
      </w:r>
      <w:r w:rsidRPr="002B1ECC">
        <w:rPr>
          <w:rStyle w:val="FootnoteReference"/>
          <w:rFonts w:ascii="Gill Sans MT" w:eastAsia="Gill Sans MT" w:hAnsi="Gill Sans MT" w:cs="Gill Sans MT"/>
          <w:sz w:val="28"/>
          <w:szCs w:val="28"/>
        </w:rPr>
        <w:footnoteReference w:id="1"/>
      </w:r>
    </w:p>
    <w:p w14:paraId="60B996D5" w14:textId="77777777" w:rsidR="002E637F" w:rsidRPr="002B1ECC" w:rsidRDefault="002E637F" w:rsidP="002E637F">
      <w:pPr>
        <w:rPr>
          <w:rFonts w:ascii="Gill Sans MT" w:eastAsia="Gill Sans MT" w:hAnsi="Gill Sans MT" w:cs="Gill Sans MT"/>
        </w:rPr>
      </w:pPr>
    </w:p>
    <w:p w14:paraId="4ADC65AF" w14:textId="77777777" w:rsidR="002E637F" w:rsidRPr="002B1ECC" w:rsidRDefault="002E637F" w:rsidP="002E637F">
      <w:pPr>
        <w:rPr>
          <w:rFonts w:ascii="Gill Sans MT" w:eastAsia="Gill Sans MT" w:hAnsi="Gill Sans MT" w:cs="Gill Sans MT"/>
        </w:rPr>
      </w:pPr>
    </w:p>
    <w:p w14:paraId="0435D188" w14:textId="7DDE5BAC" w:rsidR="002E637F" w:rsidRPr="002B1ECC" w:rsidRDefault="002E637F" w:rsidP="002E637F">
      <w:pPr>
        <w:jc w:val="both"/>
        <w:rPr>
          <w:rFonts w:ascii="Gill Sans MT" w:eastAsia="Gill Sans MT" w:hAnsi="Gill Sans MT" w:cs="Gill Sans MT"/>
        </w:rPr>
      </w:pPr>
      <w:r w:rsidRPr="002B1ECC">
        <w:rPr>
          <w:rFonts w:ascii="Gill Sans MT" w:eastAsia="Gill Sans MT" w:hAnsi="Gill Sans MT" w:cs="Gill Sans MT"/>
        </w:rPr>
        <w:t xml:space="preserve">Lisa Mitchell’s </w:t>
      </w:r>
      <w:r w:rsidRPr="002B1ECC">
        <w:rPr>
          <w:rFonts w:ascii="Gill Sans MT" w:eastAsia="Gill Sans MT" w:hAnsi="Gill Sans MT" w:cs="Gill Sans MT"/>
          <w:i/>
          <w:iCs/>
        </w:rPr>
        <w:t xml:space="preserve">Hailing the </w:t>
      </w:r>
      <w:r w:rsidR="00275DFA">
        <w:rPr>
          <w:rFonts w:ascii="Gill Sans MT" w:eastAsia="Gill Sans MT" w:hAnsi="Gill Sans MT" w:cs="Gill Sans MT"/>
          <w:i/>
          <w:iCs/>
        </w:rPr>
        <w:t>s</w:t>
      </w:r>
      <w:r w:rsidRPr="002B1ECC">
        <w:rPr>
          <w:rFonts w:ascii="Gill Sans MT" w:eastAsia="Gill Sans MT" w:hAnsi="Gill Sans MT" w:cs="Gill Sans MT"/>
          <w:i/>
          <w:iCs/>
        </w:rPr>
        <w:t>tate</w:t>
      </w:r>
      <w:r w:rsidRPr="002B1ECC">
        <w:rPr>
          <w:rFonts w:ascii="Gill Sans MT" w:eastAsia="Gill Sans MT" w:hAnsi="Gill Sans MT" w:cs="Gill Sans MT"/>
        </w:rPr>
        <w:t xml:space="preserve"> is a detailed, sensitive account of both state</w:t>
      </w:r>
      <w:r w:rsidR="00275DFA">
        <w:rPr>
          <w:rFonts w:ascii="Gill Sans MT" w:eastAsia="Gill Sans MT" w:hAnsi="Gill Sans MT" w:cs="Gill Sans MT"/>
        </w:rPr>
        <w:t>-</w:t>
      </w:r>
      <w:r w:rsidRPr="002B1ECC">
        <w:rPr>
          <w:rFonts w:ascii="Gill Sans MT" w:eastAsia="Gill Sans MT" w:hAnsi="Gill Sans MT" w:cs="Gill Sans MT"/>
        </w:rPr>
        <w:t xml:space="preserve">making and statehood, as it pertains to the secession of Telangana and (as she puts it) to the state of India more broadly. Mitchell thus explores how democracy is practised in her treatment of a repertoire of mechanisms including </w:t>
      </w:r>
      <w:r w:rsidRPr="002B1ECC">
        <w:rPr>
          <w:rFonts w:ascii="Gill Sans MT" w:eastAsia="Gill Sans MT" w:hAnsi="Gill Sans MT" w:cs="Gill Sans MT"/>
          <w:i/>
          <w:iCs/>
        </w:rPr>
        <w:t xml:space="preserve">dharna </w:t>
      </w:r>
      <w:r w:rsidRPr="002B1ECC">
        <w:rPr>
          <w:rFonts w:ascii="Gill Sans MT" w:eastAsia="Gill Sans MT" w:hAnsi="Gill Sans MT" w:cs="Gill Sans MT"/>
        </w:rPr>
        <w:t xml:space="preserve">(sit ins), </w:t>
      </w:r>
      <w:r w:rsidRPr="002B1ECC">
        <w:rPr>
          <w:rFonts w:ascii="Gill Sans MT" w:eastAsia="Gill Sans MT" w:hAnsi="Gill Sans MT" w:cs="Gill Sans MT"/>
          <w:i/>
          <w:iCs/>
        </w:rPr>
        <w:t>bandhs</w:t>
      </w:r>
      <w:r w:rsidRPr="002B1ECC">
        <w:rPr>
          <w:rFonts w:ascii="Gill Sans MT" w:eastAsia="Gill Sans MT" w:hAnsi="Gill Sans MT" w:cs="Gill Sans MT"/>
        </w:rPr>
        <w:t xml:space="preserve"> (shutdown strikes), the </w:t>
      </w:r>
      <w:r w:rsidRPr="002B1ECC">
        <w:rPr>
          <w:rFonts w:ascii="Gill Sans MT" w:eastAsia="Gill Sans MT" w:hAnsi="Gill Sans MT" w:cs="Gill Sans MT"/>
          <w:i/>
          <w:iCs/>
        </w:rPr>
        <w:t>rail roko</w:t>
      </w:r>
      <w:r w:rsidRPr="002B1ECC">
        <w:rPr>
          <w:rFonts w:ascii="Gill Sans MT" w:eastAsia="Gill Sans MT" w:hAnsi="Gill Sans MT" w:cs="Gill Sans MT"/>
        </w:rPr>
        <w:t xml:space="preserve"> (railway blockades), </w:t>
      </w:r>
      <w:proofErr w:type="spellStart"/>
      <w:r w:rsidRPr="002B1ECC">
        <w:rPr>
          <w:rFonts w:ascii="Gill Sans MT" w:eastAsia="Gill Sans MT" w:hAnsi="Gill Sans MT" w:cs="Gill Sans MT"/>
          <w:i/>
          <w:iCs/>
        </w:rPr>
        <w:t>r</w:t>
      </w:r>
      <w:r w:rsidRPr="002B1ECC">
        <w:rPr>
          <w:rFonts w:ascii="Calibri" w:eastAsia="Gill Sans MT" w:hAnsi="Calibri" w:cs="Calibri"/>
          <w:i/>
          <w:iCs/>
        </w:rPr>
        <w:t>ā</w:t>
      </w:r>
      <w:r w:rsidRPr="002B1ECC">
        <w:rPr>
          <w:rFonts w:ascii="Gill Sans MT" w:eastAsia="Gill Sans MT" w:hAnsi="Gill Sans MT" w:cs="Gill Sans MT"/>
          <w:i/>
          <w:iCs/>
        </w:rPr>
        <w:t>st</w:t>
      </w:r>
      <w:r w:rsidRPr="002B1ECC">
        <w:rPr>
          <w:rFonts w:ascii="Calibri" w:eastAsia="Gill Sans MT" w:hAnsi="Calibri" w:cs="Calibri"/>
          <w:i/>
          <w:iCs/>
        </w:rPr>
        <w:t>ā</w:t>
      </w:r>
      <w:proofErr w:type="spellEnd"/>
      <w:r w:rsidRPr="002B1ECC">
        <w:rPr>
          <w:rFonts w:ascii="Gill Sans MT" w:eastAsia="Gill Sans MT" w:hAnsi="Gill Sans MT" w:cs="Gill Sans MT"/>
          <w:i/>
          <w:iCs/>
        </w:rPr>
        <w:t xml:space="preserve"> roko</w:t>
      </w:r>
      <w:r w:rsidRPr="002B1ECC">
        <w:rPr>
          <w:rFonts w:ascii="Gill Sans MT" w:eastAsia="Gill Sans MT" w:hAnsi="Gill Sans MT" w:cs="Gill Sans MT"/>
        </w:rPr>
        <w:t xml:space="preserve"> (</w:t>
      </w:r>
      <w:proofErr w:type="gramStart"/>
      <w:r w:rsidRPr="002B1ECC">
        <w:rPr>
          <w:rFonts w:ascii="Gill Sans MT" w:eastAsia="Gill Sans MT" w:hAnsi="Gill Sans MT" w:cs="Gill Sans MT"/>
        </w:rPr>
        <w:t>road blocks</w:t>
      </w:r>
      <w:proofErr w:type="gramEnd"/>
      <w:r w:rsidRPr="002B1ECC">
        <w:rPr>
          <w:rFonts w:ascii="Gill Sans MT" w:eastAsia="Gill Sans MT" w:hAnsi="Gill Sans MT" w:cs="Gill Sans MT"/>
        </w:rPr>
        <w:t xml:space="preserve">), and many more; practices woven into the fabric of </w:t>
      </w:r>
      <w:proofErr w:type="spellStart"/>
      <w:r w:rsidRPr="002B1ECC">
        <w:rPr>
          <w:rFonts w:ascii="Gill Sans MT" w:eastAsia="Gill Sans MT" w:hAnsi="Gill Sans MT" w:cs="Gill Sans MT"/>
        </w:rPr>
        <w:t>Telugu</w:t>
      </w:r>
      <w:r w:rsidR="000934FD">
        <w:rPr>
          <w:rFonts w:ascii="Gill Sans MT" w:eastAsia="Gill Sans MT" w:hAnsi="Gill Sans MT" w:cs="Gill Sans MT"/>
        </w:rPr>
        <w:t>v</w:t>
      </w:r>
      <w:r w:rsidR="000934FD" w:rsidRPr="000934FD">
        <w:rPr>
          <w:rFonts w:ascii="Calibri" w:eastAsia="Gill Sans MT" w:hAnsi="Calibri" w:cs="Calibri"/>
        </w:rPr>
        <w:t>ā</w:t>
      </w:r>
      <w:r w:rsidRPr="002B1ECC">
        <w:rPr>
          <w:rFonts w:ascii="Gill Sans MT" w:eastAsia="Gill Sans MT" w:hAnsi="Gill Sans MT" w:cs="Gill Sans MT"/>
        </w:rPr>
        <w:t>ru</w:t>
      </w:r>
      <w:proofErr w:type="spellEnd"/>
      <w:r w:rsidRPr="002B1ECC">
        <w:rPr>
          <w:rFonts w:ascii="Gill Sans MT" w:eastAsia="Gill Sans MT" w:hAnsi="Gill Sans MT" w:cs="Gill Sans MT"/>
        </w:rPr>
        <w:t xml:space="preserve"> and arguably Indian politics and democracy. Significantly, Mitchell emphasises that ‘hailing the state’ in this way is often the last recourse taken by citizens (37, 185-186) and that just because this vernacular exists within India, does not mean such methods </w:t>
      </w:r>
      <w:r w:rsidRPr="002B1ECC">
        <w:rPr>
          <w:rFonts w:ascii="Gill Sans MT" w:eastAsia="Gill Sans MT" w:hAnsi="Gill Sans MT" w:cs="Gill Sans MT"/>
          <w:i/>
          <w:iCs/>
        </w:rPr>
        <w:t xml:space="preserve">only </w:t>
      </w:r>
      <w:r w:rsidRPr="002B1ECC">
        <w:rPr>
          <w:rFonts w:ascii="Gill Sans MT" w:eastAsia="Gill Sans MT" w:hAnsi="Gill Sans MT" w:cs="Gill Sans MT"/>
        </w:rPr>
        <w:t xml:space="preserve">relate to hailing the state as they can also be employed against the state (194).  </w:t>
      </w:r>
    </w:p>
    <w:p w14:paraId="1FB3F18D" w14:textId="3B45124F" w:rsidR="002E637F" w:rsidRPr="002B1ECC" w:rsidRDefault="002E637F" w:rsidP="002E637F">
      <w:pPr>
        <w:jc w:val="both"/>
        <w:rPr>
          <w:rFonts w:ascii="Gill Sans MT" w:eastAsia="Gill Sans MT" w:hAnsi="Gill Sans MT" w:cs="Gill Sans MT"/>
        </w:rPr>
      </w:pPr>
      <w:r w:rsidRPr="002B1ECC">
        <w:rPr>
          <w:rFonts w:ascii="Gill Sans MT" w:hAnsi="Gill Sans MT"/>
        </w:rPr>
        <w:tab/>
      </w:r>
      <w:r w:rsidRPr="002B1ECC">
        <w:rPr>
          <w:rFonts w:ascii="Gill Sans MT" w:eastAsia="Gill Sans MT" w:hAnsi="Gill Sans MT" w:cs="Gill Sans MT"/>
          <w:i/>
          <w:iCs/>
        </w:rPr>
        <w:t xml:space="preserve">Hailing the </w:t>
      </w:r>
      <w:r w:rsidR="00F56B73">
        <w:rPr>
          <w:rFonts w:ascii="Gill Sans MT" w:eastAsia="Gill Sans MT" w:hAnsi="Gill Sans MT" w:cs="Gill Sans MT"/>
          <w:i/>
          <w:iCs/>
        </w:rPr>
        <w:t>s</w:t>
      </w:r>
      <w:r w:rsidRPr="002B1ECC">
        <w:rPr>
          <w:rFonts w:ascii="Gill Sans MT" w:eastAsia="Gill Sans MT" w:hAnsi="Gill Sans MT" w:cs="Gill Sans MT"/>
          <w:i/>
          <w:iCs/>
        </w:rPr>
        <w:t>tate</w:t>
      </w:r>
      <w:r w:rsidRPr="002B1ECC">
        <w:rPr>
          <w:rFonts w:ascii="Gill Sans MT" w:eastAsia="Gill Sans MT" w:hAnsi="Gill Sans MT" w:cs="Gill Sans MT"/>
        </w:rPr>
        <w:t xml:space="preserve">, perhaps echoing its subject matter, is split in two, with Part I tracing the genealogies of these methods of protest and their use in compelling an audience. Part II explores the distinctions made between the political and criminal act, as determined by the state, by examining multiple mechanisms of the repertoire Mitchell alludes to at the beginning of the book. </w:t>
      </w:r>
    </w:p>
    <w:p w14:paraId="554668F7" w14:textId="77777777" w:rsidR="002E637F" w:rsidRPr="002B1ECC" w:rsidRDefault="002E637F" w:rsidP="002E637F">
      <w:pPr>
        <w:jc w:val="both"/>
        <w:rPr>
          <w:rFonts w:ascii="Gill Sans MT" w:eastAsia="Gill Sans MT" w:hAnsi="Gill Sans MT" w:cs="Gill Sans MT"/>
        </w:rPr>
      </w:pPr>
      <w:r w:rsidRPr="002B1ECC">
        <w:rPr>
          <w:rFonts w:ascii="Gill Sans MT" w:hAnsi="Gill Sans MT"/>
        </w:rPr>
        <w:tab/>
      </w:r>
      <w:r w:rsidRPr="002B1ECC">
        <w:rPr>
          <w:rFonts w:ascii="Gill Sans MT" w:eastAsia="Gill Sans MT" w:hAnsi="Gill Sans MT" w:cs="Gill Sans MT"/>
        </w:rPr>
        <w:t xml:space="preserve">The importance of spatial realities when hailing the state is present from the very first chapter onwards. Mitchell begins by exploring the </w:t>
      </w:r>
      <w:r w:rsidRPr="002B1ECC">
        <w:rPr>
          <w:rFonts w:ascii="Gill Sans MT" w:eastAsia="Gill Sans MT" w:hAnsi="Gill Sans MT" w:cs="Gill Sans MT"/>
          <w:i/>
          <w:iCs/>
        </w:rPr>
        <w:t>dharna</w:t>
      </w:r>
      <w:r w:rsidRPr="002B1ECC">
        <w:rPr>
          <w:rFonts w:ascii="Gill Sans MT" w:eastAsia="Gill Sans MT" w:hAnsi="Gill Sans MT" w:cs="Gill Sans MT"/>
        </w:rPr>
        <w:t xml:space="preserve"> (sit ins) and their literal and metaphorical place within Indian democracy. Many hailing practices are partially or temporarily accepted and are designated spaces within parks, municipal property, and public areas (50). However, </w:t>
      </w:r>
      <w:r w:rsidRPr="002B1ECC">
        <w:rPr>
          <w:rFonts w:ascii="Gill Sans MT" w:eastAsia="Gill Sans MT" w:hAnsi="Gill Sans MT" w:cs="Gill Sans MT"/>
          <w:i/>
          <w:iCs/>
        </w:rPr>
        <w:t>dharna</w:t>
      </w:r>
      <w:r w:rsidRPr="002B1ECC">
        <w:rPr>
          <w:rFonts w:ascii="Gill Sans MT" w:eastAsia="Gill Sans MT" w:hAnsi="Gill Sans MT" w:cs="Gill Sans MT"/>
        </w:rPr>
        <w:t xml:space="preserve"> can also be manipulated, moved, and sequestered in parts of the city, such as the protest square of Dharna Chowk (47). Interweaving the contemporary retelling of Dharna Chowk with a historical understanding of the method, Mitchell demonstrates how </w:t>
      </w:r>
      <w:r w:rsidRPr="002B1ECC">
        <w:rPr>
          <w:rFonts w:ascii="Gill Sans MT" w:eastAsia="Gill Sans MT" w:hAnsi="Gill Sans MT" w:cs="Gill Sans MT"/>
          <w:i/>
          <w:iCs/>
        </w:rPr>
        <w:t>dharna</w:t>
      </w:r>
      <w:r w:rsidRPr="002B1ECC">
        <w:rPr>
          <w:rFonts w:ascii="Gill Sans MT" w:eastAsia="Gill Sans MT" w:hAnsi="Gill Sans MT" w:cs="Gill Sans MT"/>
        </w:rPr>
        <w:t xml:space="preserve"> has always been used to provoke dialogue and negotiation with the state.</w:t>
      </w:r>
    </w:p>
    <w:p w14:paraId="0935B529" w14:textId="77777777" w:rsidR="002E637F" w:rsidRPr="002B1ECC" w:rsidRDefault="002E637F" w:rsidP="002E637F">
      <w:pPr>
        <w:jc w:val="both"/>
        <w:rPr>
          <w:rFonts w:ascii="Gill Sans MT" w:eastAsia="Gill Sans MT" w:hAnsi="Gill Sans MT" w:cs="Gill Sans MT"/>
        </w:rPr>
      </w:pPr>
      <w:r w:rsidRPr="002B1ECC">
        <w:rPr>
          <w:rFonts w:ascii="Gill Sans MT" w:hAnsi="Gill Sans MT"/>
        </w:rPr>
        <w:tab/>
      </w:r>
      <w:r w:rsidRPr="002B1ECC">
        <w:rPr>
          <w:rFonts w:ascii="Gill Sans MT" w:eastAsia="Gill Sans MT" w:hAnsi="Gill Sans MT" w:cs="Gill Sans MT"/>
        </w:rPr>
        <w:t xml:space="preserve">In Part II, chapters on practices including alarm chain pulling, rail and </w:t>
      </w:r>
      <w:proofErr w:type="spellStart"/>
      <w:r w:rsidRPr="002B1ECC">
        <w:rPr>
          <w:rFonts w:ascii="Gill Sans MT" w:eastAsia="Gill Sans MT" w:hAnsi="Gill Sans MT" w:cs="Gill Sans MT"/>
          <w:i/>
          <w:iCs/>
        </w:rPr>
        <w:t>r</w:t>
      </w:r>
      <w:r w:rsidRPr="002B1ECC">
        <w:rPr>
          <w:rFonts w:ascii="Calibri" w:eastAsia="Gill Sans MT" w:hAnsi="Calibri" w:cs="Calibri"/>
          <w:i/>
          <w:iCs/>
        </w:rPr>
        <w:t>ā</w:t>
      </w:r>
      <w:r w:rsidRPr="002B1ECC">
        <w:rPr>
          <w:rFonts w:ascii="Gill Sans MT" w:eastAsia="Gill Sans MT" w:hAnsi="Gill Sans MT" w:cs="Gill Sans MT"/>
          <w:i/>
          <w:iCs/>
        </w:rPr>
        <w:t>st</w:t>
      </w:r>
      <w:r w:rsidRPr="002B1ECC">
        <w:rPr>
          <w:rFonts w:ascii="Calibri" w:eastAsia="Gill Sans MT" w:hAnsi="Calibri" w:cs="Calibri"/>
          <w:i/>
          <w:iCs/>
        </w:rPr>
        <w:t>ā</w:t>
      </w:r>
      <w:proofErr w:type="spellEnd"/>
      <w:r w:rsidRPr="002B1ECC">
        <w:rPr>
          <w:rFonts w:ascii="Gill Sans MT" w:eastAsia="Gill Sans MT" w:hAnsi="Gill Sans MT" w:cs="Gill Sans MT"/>
          <w:i/>
          <w:iCs/>
        </w:rPr>
        <w:t xml:space="preserve"> roko</w:t>
      </w:r>
      <w:r w:rsidRPr="002B1ECC">
        <w:rPr>
          <w:rFonts w:ascii="Gill Sans MT" w:eastAsia="Gill Sans MT" w:hAnsi="Gill Sans MT" w:cs="Gill Sans MT"/>
        </w:rPr>
        <w:t xml:space="preserve">, and </w:t>
      </w:r>
      <w:proofErr w:type="spellStart"/>
      <w:r w:rsidRPr="002B1ECC">
        <w:rPr>
          <w:rFonts w:ascii="Gill Sans MT" w:eastAsia="Gill Sans MT" w:hAnsi="Gill Sans MT" w:cs="Gill Sans MT"/>
          <w:i/>
          <w:iCs/>
        </w:rPr>
        <w:t>y</w:t>
      </w:r>
      <w:r w:rsidRPr="002B1ECC">
        <w:rPr>
          <w:rFonts w:ascii="Calibri" w:eastAsia="Gill Sans MT" w:hAnsi="Calibri" w:cs="Calibri"/>
          <w:i/>
          <w:iCs/>
        </w:rPr>
        <w:t>ā</w:t>
      </w:r>
      <w:r w:rsidRPr="002B1ECC">
        <w:rPr>
          <w:rFonts w:ascii="Gill Sans MT" w:eastAsia="Gill Sans MT" w:hAnsi="Gill Sans MT" w:cs="Gill Sans MT"/>
          <w:i/>
          <w:iCs/>
        </w:rPr>
        <w:t>tra</w:t>
      </w:r>
      <w:proofErr w:type="spellEnd"/>
      <w:r w:rsidRPr="002B1ECC">
        <w:rPr>
          <w:rFonts w:ascii="Gill Sans MT" w:eastAsia="Gill Sans MT" w:hAnsi="Gill Sans MT" w:cs="Gill Sans MT"/>
        </w:rPr>
        <w:t xml:space="preserve"> (journeys or pilgrimages) demonstrate the centrality of modes of movement and their role in communicating political messages. Halting the primary means of communication for much of India necessarily reverberates the message along the track or path (167). These practices are also demarcated by their supposed political significance. Given bus services are controlled by the individual states, and railways by the central government, so too was political action often bifurcated (166). Similarly, ticketless travel, and the fluidity afforded to groups who are granted it, demonstrate an acceptance of their various grievances, which Mitchell terms ‘political arrival’ (203-204).</w:t>
      </w:r>
    </w:p>
    <w:p w14:paraId="6C7388CF" w14:textId="0A07CDA8" w:rsidR="002E637F" w:rsidRPr="002B1ECC" w:rsidRDefault="002E637F" w:rsidP="002E637F">
      <w:pPr>
        <w:jc w:val="both"/>
        <w:rPr>
          <w:rFonts w:ascii="Gill Sans MT" w:eastAsia="Gill Sans MT" w:hAnsi="Gill Sans MT" w:cs="Gill Sans MT"/>
        </w:rPr>
      </w:pPr>
      <w:r w:rsidRPr="002B1ECC">
        <w:rPr>
          <w:rFonts w:ascii="Gill Sans MT" w:hAnsi="Gill Sans MT" w:cs="Liberation Serif"/>
        </w:rPr>
        <w:tab/>
      </w:r>
      <w:r w:rsidRPr="002B1ECC">
        <w:rPr>
          <w:rFonts w:ascii="Gill Sans MT" w:eastAsia="Gill Sans MT" w:hAnsi="Gill Sans MT" w:cs="Gill Sans MT"/>
        </w:rPr>
        <w:t xml:space="preserve">In this way, the spatial reality of mechanisms to ‘hail the state’ (29-35) grants insight into who may utilise a given method. Mobility being integral to an industrialised society, the </w:t>
      </w:r>
      <w:r w:rsidRPr="002B1ECC">
        <w:rPr>
          <w:rFonts w:ascii="Gill Sans MT" w:eastAsia="Gill Sans MT" w:hAnsi="Gill Sans MT" w:cs="Gill Sans MT"/>
        </w:rPr>
        <w:lastRenderedPageBreak/>
        <w:t xml:space="preserve">meaning of actions relating to transportation is heavily contested. Thus, alarm chain pulling (halting trains) is variously considered vulgar (158) </w:t>
      </w:r>
      <w:r w:rsidRPr="002B1ECC">
        <w:rPr>
          <w:rFonts w:ascii="Gill Sans MT" w:eastAsia="Gill Sans MT" w:hAnsi="Gill Sans MT" w:cs="Gill Sans MT"/>
          <w:i/>
          <w:iCs/>
        </w:rPr>
        <w:t>and</w:t>
      </w:r>
      <w:r w:rsidRPr="002B1ECC">
        <w:rPr>
          <w:rFonts w:ascii="Gill Sans MT" w:eastAsia="Gill Sans MT" w:hAnsi="Gill Sans MT" w:cs="Gill Sans MT"/>
        </w:rPr>
        <w:t xml:space="preserve"> legally permissible (156). Relatedly, the second chapter introduces the concept of communicative ‘style’ alongside the traditional expectation for leaders to hold audience in India; where collective action operated to communicate demands to authorities, rather than topple them (81). As with the spatial accommodations of </w:t>
      </w:r>
      <w:r w:rsidRPr="002B1ECC">
        <w:rPr>
          <w:rFonts w:ascii="Gill Sans MT" w:eastAsia="Gill Sans MT" w:hAnsi="Gill Sans MT" w:cs="Gill Sans MT"/>
          <w:i/>
          <w:iCs/>
        </w:rPr>
        <w:t>dharna</w:t>
      </w:r>
      <w:r w:rsidRPr="002B1ECC">
        <w:rPr>
          <w:rFonts w:ascii="Gill Sans MT" w:eastAsia="Gill Sans MT" w:hAnsi="Gill Sans MT" w:cs="Gill Sans MT"/>
        </w:rPr>
        <w:t xml:space="preserve">, so called ‘Grievance Days’ (70-72) institutionalise ‘styles’ of communication, allowing for a </w:t>
      </w:r>
      <w:r w:rsidRPr="002B1ECC">
        <w:rPr>
          <w:rFonts w:ascii="Gill Sans MT" w:eastAsia="Gill Sans MT" w:hAnsi="Gill Sans MT" w:cs="Gill Sans MT"/>
          <w:i/>
          <w:iCs/>
        </w:rPr>
        <w:t>perception</w:t>
      </w:r>
      <w:r w:rsidRPr="002B1ECC">
        <w:rPr>
          <w:rFonts w:ascii="Gill Sans MT" w:eastAsia="Gill Sans MT" w:hAnsi="Gill Sans MT" w:cs="Gill Sans MT"/>
        </w:rPr>
        <w:t xml:space="preserve"> of listening, if not its actual practice, and granting states the possibility to inscribe what airing grievances should look like. Similarly, chapter four's focus on highly organised trans-local and trans-communal general strikes (136-138) demonstrates how the East India Company demonised or ignored all but their defined ‘legitimate’ forms of redress, and only recognised individual actors within mass assemblies, thereby dissipating the </w:t>
      </w:r>
      <w:proofErr w:type="spellStart"/>
      <w:r w:rsidRPr="002B1ECC">
        <w:rPr>
          <w:rFonts w:ascii="Gill Sans MT" w:eastAsia="Gill Sans MT" w:hAnsi="Gill Sans MT" w:cs="Gill Sans MT"/>
        </w:rPr>
        <w:t>collectivity</w:t>
      </w:r>
      <w:r w:rsidR="006C4443">
        <w:rPr>
          <w:rFonts w:ascii="Gill Sans MT" w:eastAsia="Gill Sans MT" w:hAnsi="Gill Sans MT" w:cs="Gill Sans MT"/>
        </w:rPr>
        <w:t>’</w:t>
      </w:r>
      <w:r w:rsidRPr="002B1ECC">
        <w:rPr>
          <w:rFonts w:ascii="Gill Sans MT" w:eastAsia="Gill Sans MT" w:hAnsi="Gill Sans MT" w:cs="Gill Sans MT"/>
        </w:rPr>
        <w:t>s</w:t>
      </w:r>
      <w:proofErr w:type="spellEnd"/>
      <w:r w:rsidRPr="002B1ECC">
        <w:rPr>
          <w:rFonts w:ascii="Gill Sans MT" w:eastAsia="Gill Sans MT" w:hAnsi="Gill Sans MT" w:cs="Gill Sans MT"/>
        </w:rPr>
        <w:t xml:space="preserve"> power (144).</w:t>
      </w:r>
    </w:p>
    <w:p w14:paraId="27545FC4" w14:textId="77777777" w:rsidR="002E637F" w:rsidRPr="002B1ECC" w:rsidRDefault="002E637F" w:rsidP="002E637F">
      <w:pPr>
        <w:jc w:val="both"/>
        <w:rPr>
          <w:rFonts w:ascii="Gill Sans MT" w:eastAsia="Gill Sans MT" w:hAnsi="Gill Sans MT" w:cs="Gill Sans MT"/>
        </w:rPr>
      </w:pPr>
      <w:r w:rsidRPr="002B1ECC">
        <w:rPr>
          <w:rFonts w:ascii="Gill Sans MT" w:eastAsia="Gill Sans MT" w:hAnsi="Gill Sans MT" w:cs="Gill Sans MT"/>
        </w:rPr>
        <w:tab/>
        <w:t>Chapters two and three examine Dalit students’ decade-long remonstrations to the University of Hyderabad’s chief warden of hostels and academic board, and their subsequent characterisation by the media and other figures of authority as ‘angry’ (75), or ‘uncivil’ (113). Yet with little other recourse, practices like alarm chain pulling force the state to respond to demands from marginalised voices owing to their outsized spatial effect. Civility is therefore not a neutral act, but the preserve of privileged groups; ‘</w:t>
      </w:r>
      <w:r w:rsidRPr="002B1ECC">
        <w:rPr>
          <w:rFonts w:ascii="Gill Sans MT" w:eastAsia="Gill Sans MT" w:hAnsi="Gill Sans MT" w:cs="Gill Sans MT"/>
          <w:i/>
          <w:iCs/>
        </w:rPr>
        <w:t xml:space="preserve">a product of structures of authority that facilitate the recognition of political subjects and give audience to their voices… </w:t>
      </w:r>
      <w:r w:rsidRPr="002B1ECC">
        <w:rPr>
          <w:rFonts w:ascii="Gill Sans MT" w:eastAsia="Gill Sans MT" w:hAnsi="Gill Sans MT" w:cs="Gill Sans MT"/>
        </w:rPr>
        <w:t xml:space="preserve">[which, upon being recognised, provides] </w:t>
      </w:r>
      <w:r w:rsidRPr="002B1ECC">
        <w:rPr>
          <w:rFonts w:ascii="Gill Sans MT" w:eastAsia="Gill Sans MT" w:hAnsi="Gill Sans MT" w:cs="Gill Sans MT"/>
          <w:i/>
          <w:iCs/>
        </w:rPr>
        <w:t xml:space="preserve">the luxury of </w:t>
      </w:r>
      <w:r w:rsidRPr="002B1ECC">
        <w:rPr>
          <w:rFonts w:ascii="Gill Sans MT" w:eastAsia="Gill Sans MT" w:hAnsi="Gill Sans MT" w:cs="Gill Sans MT"/>
        </w:rPr>
        <w:t>appearing</w:t>
      </w:r>
      <w:r w:rsidRPr="002B1ECC">
        <w:rPr>
          <w:rFonts w:ascii="Gill Sans MT" w:eastAsia="Gill Sans MT" w:hAnsi="Gill Sans MT" w:cs="Gill Sans MT"/>
          <w:i/>
          <w:iCs/>
        </w:rPr>
        <w:t xml:space="preserve"> to be more civil</w:t>
      </w:r>
      <w:r w:rsidRPr="002B1ECC">
        <w:rPr>
          <w:rFonts w:ascii="Gill Sans MT" w:eastAsia="Gill Sans MT" w:hAnsi="Gill Sans MT" w:cs="Gill Sans MT"/>
        </w:rPr>
        <w:t>’ (121, emphasis in original).</w:t>
      </w:r>
    </w:p>
    <w:p w14:paraId="6AEAB1B3" w14:textId="77777777" w:rsidR="002E637F" w:rsidRPr="002B1ECC" w:rsidRDefault="002E637F" w:rsidP="002E637F">
      <w:pPr>
        <w:jc w:val="both"/>
        <w:rPr>
          <w:rFonts w:ascii="Gill Sans MT" w:eastAsia="Gill Sans MT" w:hAnsi="Gill Sans MT" w:cs="Gill Sans MT"/>
        </w:rPr>
      </w:pPr>
      <w:r w:rsidRPr="002B1ECC">
        <w:rPr>
          <w:rFonts w:ascii="Gill Sans MT" w:hAnsi="Gill Sans MT" w:cs="Liberation Serif"/>
        </w:rPr>
        <w:tab/>
      </w:r>
      <w:r w:rsidRPr="002B1ECC">
        <w:rPr>
          <w:rFonts w:ascii="Gill Sans MT" w:eastAsia="Gill Sans MT" w:hAnsi="Gill Sans MT" w:cs="Gill Sans MT"/>
        </w:rPr>
        <w:t xml:space="preserve">The demonisation of those threatening authority naturally leads to a final repression by the state to erase collective assembly: criminalisation. Broadly comprising Part II, the classification of actions as criminal or political is an important political distinction, changing according to factors such as socioeconomic status (192), convenience to the state (163), or the degree to which actions are institutionalised and thus deemed acceptable (183-185). Therefore, </w:t>
      </w:r>
      <w:r w:rsidRPr="002B1ECC">
        <w:rPr>
          <w:rFonts w:ascii="Gill Sans MT" w:eastAsia="Gill Sans MT" w:hAnsi="Gill Sans MT" w:cs="Gill Sans MT"/>
          <w:i/>
          <w:iCs/>
        </w:rPr>
        <w:t>who</w:t>
      </w:r>
      <w:r w:rsidRPr="002B1ECC">
        <w:rPr>
          <w:rFonts w:ascii="Gill Sans MT" w:eastAsia="Gill Sans MT" w:hAnsi="Gill Sans MT" w:cs="Gill Sans MT"/>
        </w:rPr>
        <w:t xml:space="preserve"> articulates an action is more important than </w:t>
      </w:r>
      <w:r w:rsidRPr="002B1ECC">
        <w:rPr>
          <w:rFonts w:ascii="Gill Sans MT" w:eastAsia="Gill Sans MT" w:hAnsi="Gill Sans MT" w:cs="Gill Sans MT"/>
          <w:i/>
          <w:iCs/>
        </w:rPr>
        <w:t>what</w:t>
      </w:r>
      <w:r w:rsidRPr="002B1ECC">
        <w:rPr>
          <w:rFonts w:ascii="Gill Sans MT" w:eastAsia="Gill Sans MT" w:hAnsi="Gill Sans MT" w:cs="Gill Sans MT"/>
        </w:rPr>
        <w:t xml:space="preserve"> the action may be when characterising the perpetrator as a criminal or political agent (212). Mitchell describes this in terms of defining ‘</w:t>
      </w:r>
      <w:r w:rsidRPr="002B1ECC">
        <w:rPr>
          <w:rFonts w:ascii="Gill Sans MT" w:eastAsia="Gill Sans MT" w:hAnsi="Gill Sans MT" w:cs="Gill Sans MT"/>
          <w:i/>
          <w:iCs/>
        </w:rPr>
        <w:t>publics</w:t>
      </w:r>
      <w:r w:rsidRPr="002B1ECC">
        <w:rPr>
          <w:rFonts w:ascii="Gill Sans MT" w:eastAsia="Gill Sans MT" w:hAnsi="Gill Sans MT" w:cs="Gill Sans MT"/>
        </w:rPr>
        <w:t>’, where one group is ostensibly comprised of successful political agents, and the other of labourers, thugs, and hooligans, who are thought of as unruly (205-210). Yet Mitchell’s close historical reading of alarm chain pulling demonstrates how widespread this democratic practice was, from British rule to today (160-164). As such, distinguishing ‘</w:t>
      </w:r>
      <w:r w:rsidRPr="002B1ECC">
        <w:rPr>
          <w:rFonts w:ascii="Gill Sans MT" w:eastAsia="Gill Sans MT" w:hAnsi="Gill Sans MT" w:cs="Gill Sans MT"/>
          <w:i/>
          <w:iCs/>
        </w:rPr>
        <w:t>publics</w:t>
      </w:r>
      <w:r w:rsidRPr="002B1ECC">
        <w:rPr>
          <w:rFonts w:ascii="Gill Sans MT" w:eastAsia="Gill Sans MT" w:hAnsi="Gill Sans MT" w:cs="Gill Sans MT"/>
        </w:rPr>
        <w:t>’ is another attempt to erase collective action and outline so-called legitimate political actors. The truth, according to Mitchell, is that democracy is ongoing, between and at elections, and through a multitude of methods which aim to ‘hail the state’.</w:t>
      </w:r>
    </w:p>
    <w:p w14:paraId="48B01584" w14:textId="77777777" w:rsidR="002E637F" w:rsidRDefault="002E637F" w:rsidP="002E637F">
      <w:pPr>
        <w:jc w:val="both"/>
        <w:rPr>
          <w:rFonts w:ascii="Gill Sans MT" w:eastAsia="Gill Sans MT" w:hAnsi="Gill Sans MT" w:cs="Gill Sans MT"/>
        </w:rPr>
      </w:pPr>
      <w:r w:rsidRPr="002B1ECC">
        <w:rPr>
          <w:rFonts w:ascii="Gill Sans MT" w:hAnsi="Gill Sans MT" w:cs="Liberation Serif"/>
        </w:rPr>
        <w:tab/>
      </w:r>
      <w:r w:rsidRPr="002B1ECC">
        <w:rPr>
          <w:rFonts w:ascii="Gill Sans MT" w:eastAsia="Gill Sans MT" w:hAnsi="Gill Sans MT" w:cs="Gill Sans MT"/>
        </w:rPr>
        <w:t xml:space="preserve">Mitchell’s monograph is comprehensively researched, immersive, and a fascinating insight into the practise of democracy within Telangana and India, extensively employing both archival data and contemporary ethnography. She simultaneously centres democratic or dialogic attempts to compel an audience with the state, whilst taking care to acknowledge literature and action from those, like anarchists, who view themselves as oppositional to it (15) or even oscillate between these two modes (193). </w:t>
      </w:r>
    </w:p>
    <w:p w14:paraId="26363B9A" w14:textId="77777777" w:rsidR="002E637F" w:rsidRDefault="002E637F" w:rsidP="002E637F">
      <w:pPr>
        <w:jc w:val="both"/>
        <w:rPr>
          <w:rStyle w:val="normaltextrun"/>
          <w:rFonts w:ascii="Gill Sans MT" w:eastAsia="Gill Sans MT" w:hAnsi="Gill Sans MT" w:cs="Gill Sans MT"/>
          <w:color w:val="000000" w:themeColor="text1"/>
          <w:lang w:val="en-US"/>
        </w:rPr>
      </w:pPr>
    </w:p>
    <w:p w14:paraId="4970C65A" w14:textId="0B5EF642" w:rsidR="00275DFA" w:rsidRPr="002B1ECC" w:rsidRDefault="00275DFA" w:rsidP="00275DFA">
      <w:pPr>
        <w:jc w:val="both"/>
        <w:rPr>
          <w:rStyle w:val="normaltextrun"/>
          <w:rFonts w:ascii="Gill Sans MT" w:eastAsia="Gill Sans MT" w:hAnsi="Gill Sans MT" w:cs="Gill Sans MT"/>
          <w:color w:val="000000" w:themeColor="text1"/>
          <w:lang w:val="en-US"/>
        </w:rPr>
      </w:pPr>
      <w:r w:rsidRPr="00F02C9C">
        <w:rPr>
          <w:rFonts w:ascii="Gill Sans MT" w:eastAsia="PMingLiU" w:hAnsi="Gill Sans MT" w:cs="Arial"/>
          <w:noProof/>
          <w:lang w:val="en-US"/>
          <w14:ligatures w14:val="standardContextual"/>
        </w:rPr>
        <mc:AlternateContent>
          <mc:Choice Requires="wps">
            <w:drawing>
              <wp:anchor distT="0" distB="0" distL="114300" distR="114300" simplePos="0" relativeHeight="251659264" behindDoc="0" locked="0" layoutInCell="1" allowOverlap="1" wp14:anchorId="1EBC5DA8" wp14:editId="3B61CB3A">
                <wp:simplePos x="0" y="0"/>
                <wp:positionH relativeFrom="column">
                  <wp:posOffset>0</wp:posOffset>
                </wp:positionH>
                <wp:positionV relativeFrom="paragraph">
                  <wp:posOffset>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97FAC8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" strokecolor="#156082" strokeweight=".5pt">
                <v:stroke joinstyle="miter"/>
              </v:line>
            </w:pict>
          </mc:Fallback>
        </mc:AlternateContent>
      </w:r>
    </w:p>
    <w:p w14:paraId="720FC001" w14:textId="638125D1" w:rsidR="002E637F" w:rsidRPr="002B1ECC" w:rsidRDefault="002E637F" w:rsidP="007D2B61">
      <w:pPr>
        <w:jc w:val="both"/>
        <w:rPr>
          <w:rFonts w:ascii="Gill Sans MT" w:eastAsia="Gill Sans MT" w:hAnsi="Gill Sans MT" w:cs="Gill Sans MT"/>
          <w:color w:val="000000" w:themeColor="text1"/>
        </w:rPr>
      </w:pPr>
      <w:r w:rsidRPr="002B1ECC">
        <w:rPr>
          <w:rStyle w:val="normaltextrun"/>
          <w:rFonts w:ascii="Gill Sans MT" w:eastAsia="Gill Sans MT" w:hAnsi="Gill Sans MT" w:cs="Gill Sans MT"/>
          <w:color w:val="000000" w:themeColor="text1"/>
          <w:lang w:val="en-US"/>
        </w:rPr>
        <w:t>This work is copyright of the author. </w:t>
      </w:r>
      <w:r w:rsidRPr="002B1ECC">
        <w:rPr>
          <w:rStyle w:val="normaltextrun"/>
          <w:rFonts w:ascii="Gill Sans MT" w:eastAsia="Gill Sans MT" w:hAnsi="Gill Sans MT" w:cs="Gill Sans MT"/>
          <w:color w:val="000000" w:themeColor="text1"/>
        </w:rPr>
        <w:t>  </w:t>
      </w:r>
      <w:bookmarkStart w:id="0" w:name="_Hlk184506908"/>
      <w:r w:rsidR="00275DFA" w:rsidRPr="00773537">
        <w:rPr>
          <w:rFonts w:ascii="Gill Sans MT" w:eastAsia="Gill Sans MT" w:hAnsi="Gill Sans MT" w:cs="Gill Sans MT"/>
          <w:color w:val="000000" w:themeColor="text1"/>
          <w:lang w:val="en-US"/>
        </w:rPr>
        <w:t>It has been published by JASO under a Creative Commons Attribution-</w:t>
      </w:r>
      <w:proofErr w:type="spellStart"/>
      <w:r w:rsidR="00275DFA" w:rsidRPr="00773537">
        <w:rPr>
          <w:rFonts w:ascii="Gill Sans MT" w:eastAsia="Gill Sans MT" w:hAnsi="Gill Sans MT" w:cs="Gill Sans MT"/>
          <w:color w:val="000000" w:themeColor="text1"/>
          <w:lang w:val="en-US"/>
        </w:rPr>
        <w:t>NonCommercial</w:t>
      </w:r>
      <w:proofErr w:type="spellEnd"/>
      <w:r w:rsidR="00275DFA" w:rsidRPr="00773537">
        <w:rPr>
          <w:rFonts w:ascii="Gill Sans MT" w:eastAsia="Gill Sans MT" w:hAnsi="Gill Sans MT" w:cs="Gill Sans MT"/>
          <w:color w:val="000000" w:themeColor="text1"/>
          <w:lang w:val="en-US"/>
        </w:rPr>
        <w:t>-</w:t>
      </w:r>
      <w:proofErr w:type="spellStart"/>
      <w:r w:rsidR="00275DFA">
        <w:rPr>
          <w:rFonts w:ascii="Gill Sans MT" w:eastAsia="Gill Sans MT" w:hAnsi="Gill Sans MT" w:cs="Gill Sans MT"/>
          <w:color w:val="000000" w:themeColor="text1"/>
          <w:lang w:val="en-US"/>
        </w:rPr>
        <w:t>NonDerivatives</w:t>
      </w:r>
      <w:proofErr w:type="spellEnd"/>
      <w:r w:rsidR="00275DFA">
        <w:rPr>
          <w:rFonts w:ascii="Gill Sans MT" w:eastAsia="Gill Sans MT" w:hAnsi="Gill Sans MT" w:cs="Gill Sans MT"/>
          <w:color w:val="000000" w:themeColor="text1"/>
          <w:lang w:val="en-US"/>
        </w:rPr>
        <w:t xml:space="preserve"> </w:t>
      </w:r>
      <w:proofErr w:type="spellStart"/>
      <w:r w:rsidR="00275DFA" w:rsidRPr="00773537">
        <w:rPr>
          <w:rFonts w:ascii="Gill Sans MT" w:eastAsia="Gill Sans MT" w:hAnsi="Gill Sans MT" w:cs="Gill Sans MT"/>
          <w:color w:val="000000" w:themeColor="text1"/>
          <w:lang w:val="en-US"/>
        </w:rPr>
        <w:t>ShareAlike</w:t>
      </w:r>
      <w:proofErr w:type="spellEnd"/>
      <w:r w:rsidR="00275DFA" w:rsidRPr="00773537">
        <w:rPr>
          <w:rFonts w:ascii="Gill Sans MT" w:eastAsia="Gill Sans MT" w:hAnsi="Gill Sans MT" w:cs="Gill Sans MT"/>
          <w:color w:val="000000" w:themeColor="text1"/>
          <w:lang w:val="en-US"/>
        </w:rPr>
        <w:t xml:space="preserve"> License (CC BY NC</w:t>
      </w:r>
      <w:r w:rsidR="00275DFA">
        <w:rPr>
          <w:rFonts w:ascii="Gill Sans MT" w:eastAsia="Gill Sans MT" w:hAnsi="Gill Sans MT" w:cs="Gill Sans MT"/>
          <w:color w:val="000000" w:themeColor="text1"/>
          <w:lang w:val="en-US"/>
        </w:rPr>
        <w:t xml:space="preserve"> ND</w:t>
      </w:r>
      <w:r w:rsidR="00275DFA" w:rsidRPr="00773537">
        <w:rPr>
          <w:rFonts w:ascii="Gill Sans MT" w:eastAsia="Gill Sans MT" w:hAnsi="Gill Sans MT" w:cs="Gill Sans MT"/>
          <w:color w:val="000000" w:themeColor="text1"/>
          <w:lang w:val="en-US"/>
        </w:rPr>
        <w:t xml:space="preserve"> 4.0) that allows others to share the work with an acknowledgement of the work's authorship and initial publication in this journal </w:t>
      </w:r>
      <w:proofErr w:type="gramStart"/>
      <w:r w:rsidR="00275DFA" w:rsidRPr="00773537">
        <w:rPr>
          <w:rFonts w:ascii="Gill Sans MT" w:eastAsia="Gill Sans MT" w:hAnsi="Gill Sans MT" w:cs="Gill Sans MT"/>
          <w:color w:val="000000" w:themeColor="text1"/>
          <w:lang w:val="en-US"/>
        </w:rPr>
        <w:t>as long as</w:t>
      </w:r>
      <w:proofErr w:type="gramEnd"/>
      <w:r w:rsidR="00275DFA" w:rsidRPr="00773537">
        <w:rPr>
          <w:rFonts w:ascii="Gill Sans MT" w:eastAsia="Gill Sans MT" w:hAnsi="Gill Sans MT" w:cs="Gill Sans MT"/>
          <w:color w:val="000000" w:themeColor="text1"/>
          <w:lang w:val="en-US"/>
        </w:rPr>
        <w:t xml:space="preserve"> it is non-commercial and that those using the work must agree to distribute it under the same license as the original. </w:t>
      </w:r>
      <w:hyperlink r:id="rId7" w:history="1">
        <w:r w:rsidR="00275DFA" w:rsidRPr="00337652">
          <w:rPr>
            <w:rStyle w:val="Hyperlink"/>
            <w:rFonts w:ascii="Gill Sans MT" w:hAnsi="Gill Sans MT"/>
          </w:rPr>
          <w:t>https://creativecommons.org/licenses/by-nc-nd/4.0/</w:t>
        </w:r>
      </w:hyperlink>
      <w:r w:rsidR="00275DFA" w:rsidRPr="00773537">
        <w:rPr>
          <w:rFonts w:ascii="Gill Sans MT" w:eastAsia="Gill Sans MT" w:hAnsi="Gill Sans MT" w:cs="Gill Sans MT"/>
          <w:color w:val="000000" w:themeColor="text1"/>
          <w:lang w:val="en-US"/>
        </w:rPr>
        <w:t>)</w:t>
      </w:r>
      <w:bookmarkEnd w:id="0"/>
      <w:r w:rsidRPr="002B1ECC">
        <w:rPr>
          <w:rStyle w:val="eop"/>
          <w:rFonts w:ascii="Gill Sans MT" w:eastAsia="Gill Sans MT" w:hAnsi="Gill Sans MT" w:cs="Gill Sans MT"/>
          <w:color w:val="000000" w:themeColor="text1"/>
        </w:rPr>
        <w:t> </w:t>
      </w:r>
    </w:p>
    <w:p w14:paraId="6145C7EB" w14:textId="6C94AF58" w:rsidR="002E637F" w:rsidRPr="002B1ECC" w:rsidRDefault="00462023" w:rsidP="002E637F">
      <w:pPr>
        <w:jc w:val="center"/>
        <w:rPr>
          <w:rFonts w:ascii="Gill Sans MT" w:eastAsia="Gill Sans MT" w:hAnsi="Gill Sans MT" w:cs="Gill Sans MT"/>
          <w:color w:val="D13438"/>
        </w:rPr>
      </w:pPr>
      <w:r>
        <w:rPr>
          <w:rFonts w:ascii="Gill Sans MT" w:eastAsia="MS Mincho" w:hAnsi="Gill Sans MT" w:cs="Arial"/>
          <w:noProof/>
          <w:lang w:val="en-US"/>
        </w:rPr>
        <w:drawing>
          <wp:anchor distT="0" distB="0" distL="114300" distR="114300" simplePos="0" relativeHeight="251661312" behindDoc="1" locked="0" layoutInCell="1" allowOverlap="1" wp14:anchorId="07CE2119" wp14:editId="11074EDF">
            <wp:simplePos x="0" y="0"/>
            <wp:positionH relativeFrom="column">
              <wp:posOffset>4442460</wp:posOffset>
            </wp:positionH>
            <wp:positionV relativeFrom="paragraph">
              <wp:posOffset>0</wp:posOffset>
            </wp:positionV>
            <wp:extent cx="1226820" cy="426720"/>
            <wp:effectExtent l="0" t="0" r="0" b="0"/>
            <wp:wrapNone/>
            <wp:docPr id="716774333"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74333" name="Picture 23" descr="A sign with a person and dollar symb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anchor>
        </w:drawing>
      </w:r>
      <w:r w:rsidR="002E637F" w:rsidRPr="002B1ECC">
        <w:rPr>
          <w:rStyle w:val="eop"/>
          <w:rFonts w:ascii="Gill Sans MT" w:eastAsia="Gill Sans MT" w:hAnsi="Gill Sans MT" w:cs="Gill Sans MT"/>
          <w:color w:val="D13438"/>
          <w:u w:val="single"/>
        </w:rPr>
        <w:t> </w:t>
      </w:r>
    </w:p>
    <w:p w14:paraId="14C48A73" w14:textId="77777777" w:rsidR="00C947E3" w:rsidRPr="002B1ECC" w:rsidRDefault="00C947E3">
      <w:pPr>
        <w:rPr>
          <w:rFonts w:ascii="Gill Sans MT" w:hAnsi="Gill Sans MT"/>
        </w:rPr>
      </w:pPr>
    </w:p>
    <w:sectPr w:rsidR="00C947E3" w:rsidRPr="002B1ECC" w:rsidSect="00462023">
      <w:headerReference w:type="default" r:id="rId9"/>
      <w:footerReference w:type="default" r:id="rId10"/>
      <w:headerReference w:type="first" r:id="rId11"/>
      <w:footerReference w:type="first" r:id="rId12"/>
      <w:pgSz w:w="11906" w:h="16838"/>
      <w:pgMar w:top="1440" w:right="1440" w:bottom="1440" w:left="1440" w:header="720" w:footer="720" w:gutter="0"/>
      <w:pgNumType w:fmt="numberInDash" w:start="172"/>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D4F0C" w14:textId="77777777" w:rsidR="002D52E4" w:rsidRDefault="002D52E4" w:rsidP="002E637F">
      <w:r>
        <w:separator/>
      </w:r>
    </w:p>
  </w:endnote>
  <w:endnote w:type="continuationSeparator" w:id="0">
    <w:p w14:paraId="5D8634FB" w14:textId="77777777" w:rsidR="002D52E4" w:rsidRDefault="002D52E4" w:rsidP="002E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altName w:val="Cambria"/>
    <w:charset w:val="00"/>
    <w:family w:val="roman"/>
    <w:pitch w:val="default"/>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Look w:val="06A0" w:firstRow="1" w:lastRow="0" w:firstColumn="1" w:lastColumn="0" w:noHBand="1" w:noVBand="1"/>
    </w:tblPr>
    <w:tblGrid>
      <w:gridCol w:w="3210"/>
      <w:gridCol w:w="3210"/>
      <w:gridCol w:w="3210"/>
    </w:tblGrid>
    <w:tr w:rsidR="00974C56" w14:paraId="05C053B5" w14:textId="77777777">
      <w:trPr>
        <w:trHeight w:val="300"/>
      </w:trPr>
      <w:tc>
        <w:tcPr>
          <w:tcW w:w="3210" w:type="dxa"/>
        </w:tcPr>
        <w:p w14:paraId="3E672DBF" w14:textId="77777777" w:rsidR="00412AFF" w:rsidRDefault="00412AFF">
          <w:pPr>
            <w:pStyle w:val="Header"/>
            <w:ind w:left="-115"/>
          </w:pPr>
        </w:p>
      </w:tc>
      <w:tc>
        <w:tcPr>
          <w:tcW w:w="3210" w:type="dxa"/>
        </w:tcPr>
        <w:p w14:paraId="1752C245" w14:textId="77777777" w:rsidR="00412AFF" w:rsidRDefault="00412AFF">
          <w:pPr>
            <w:pStyle w:val="Header"/>
            <w:jc w:val="center"/>
          </w:pPr>
        </w:p>
      </w:tc>
      <w:tc>
        <w:tcPr>
          <w:tcW w:w="3210" w:type="dxa"/>
        </w:tcPr>
        <w:p w14:paraId="5CF3884A" w14:textId="77777777" w:rsidR="00412AFF" w:rsidRDefault="00412AFF">
          <w:pPr>
            <w:pStyle w:val="Header"/>
            <w:ind w:right="-115"/>
            <w:jc w:val="right"/>
          </w:pPr>
        </w:p>
      </w:tc>
    </w:tr>
  </w:tbl>
  <w:p w14:paraId="3E57EB8B" w14:textId="071DE83C" w:rsidR="00412AFF" w:rsidRPr="00275DFA" w:rsidRDefault="00275DFA" w:rsidP="00275DFA">
    <w:pPr>
      <w:pStyle w:val="Footer"/>
      <w:tabs>
        <w:tab w:val="left" w:pos="8904"/>
      </w:tabs>
      <w:rPr>
        <w:rFonts w:ascii="Gill Sans MT" w:hAnsi="Gill Sans MT" w:cstheme="majorBidi"/>
        <w:color w:val="444444"/>
        <w:shd w:val="clear" w:color="auto" w:fill="FFFFFF"/>
      </w:rPr>
    </w:pPr>
    <w:r w:rsidRPr="000D083B">
      <w:rPr>
        <w:rFonts w:ascii="Gill Sans MT" w:hAnsi="Gill Sans MT"/>
      </w:rPr>
      <w:t>JASO</w:t>
    </w:r>
    <w:r w:rsidRPr="000D083B">
      <w:rPr>
        <w:rFonts w:ascii="Gill Sans MT" w:hAnsi="Gill Sans MT" w:cstheme="majorBidi"/>
      </w:rPr>
      <w:t xml:space="preserve"> </w:t>
    </w:r>
    <w:r w:rsidRPr="000D083B">
      <w:rPr>
        <w:rFonts w:ascii="Gill Sans MT" w:hAnsi="Gill Sans MT" w:cstheme="majorBidi"/>
        <w:color w:val="444444"/>
        <w:shd w:val="clear" w:color="auto" w:fill="FFFFFF"/>
      </w:rPr>
      <w:t>ISSN: 2040-1876 Vol XVI 2024</w:t>
    </w:r>
    <w:r>
      <w:rPr>
        <w:rFonts w:ascii="Gill Sans MT" w:hAnsi="Gill Sans MT" w:cstheme="majorBidi"/>
        <w:color w:val="444444"/>
        <w:shd w:val="clear" w:color="auto" w:fill="FFFFFF"/>
      </w:rPr>
      <w:t xml:space="preserve">                                                                       </w:t>
    </w:r>
    <w:r w:rsidRPr="009152B5">
      <w:rPr>
        <w:rFonts w:ascii="Gill Sans MT" w:hAnsi="Gill Sans MT"/>
      </w:rPr>
      <w:fldChar w:fldCharType="begin"/>
    </w:r>
    <w:r w:rsidRPr="009152B5">
      <w:rPr>
        <w:rFonts w:ascii="Gill Sans MT" w:hAnsi="Gill Sans MT"/>
      </w:rPr>
      <w:instrText xml:space="preserve"> PAGE   \* MERGEFORMAT </w:instrText>
    </w:r>
    <w:r w:rsidRPr="009152B5">
      <w:rPr>
        <w:rFonts w:ascii="Gill Sans MT" w:hAnsi="Gill Sans MT"/>
      </w:rPr>
      <w:fldChar w:fldCharType="separate"/>
    </w:r>
    <w:r>
      <w:rPr>
        <w:rFonts w:ascii="Gill Sans MT" w:hAnsi="Gill Sans MT"/>
      </w:rPr>
      <w:t>- 2 -</w:t>
    </w:r>
    <w:r w:rsidRPr="009152B5">
      <w:rPr>
        <w:rFonts w:ascii="Gill Sans MT" w:hAnsi="Gill Sans M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Look w:val="06A0" w:firstRow="1" w:lastRow="0" w:firstColumn="1" w:lastColumn="0" w:noHBand="1" w:noVBand="1"/>
    </w:tblPr>
    <w:tblGrid>
      <w:gridCol w:w="3210"/>
      <w:gridCol w:w="3210"/>
      <w:gridCol w:w="3210"/>
    </w:tblGrid>
    <w:tr w:rsidR="00974C56" w14:paraId="6F836CC4" w14:textId="77777777">
      <w:trPr>
        <w:trHeight w:val="300"/>
      </w:trPr>
      <w:tc>
        <w:tcPr>
          <w:tcW w:w="3210" w:type="dxa"/>
        </w:tcPr>
        <w:p w14:paraId="5AE3FB27" w14:textId="77777777" w:rsidR="00412AFF" w:rsidRDefault="00412AFF">
          <w:pPr>
            <w:pStyle w:val="Header"/>
            <w:ind w:left="-115"/>
          </w:pPr>
        </w:p>
      </w:tc>
      <w:tc>
        <w:tcPr>
          <w:tcW w:w="3210" w:type="dxa"/>
        </w:tcPr>
        <w:p w14:paraId="7726FE4D" w14:textId="77777777" w:rsidR="00412AFF" w:rsidRDefault="00412AFF">
          <w:pPr>
            <w:pStyle w:val="Header"/>
            <w:jc w:val="center"/>
          </w:pPr>
        </w:p>
      </w:tc>
      <w:tc>
        <w:tcPr>
          <w:tcW w:w="3210" w:type="dxa"/>
        </w:tcPr>
        <w:p w14:paraId="2DF6C8D5" w14:textId="77777777" w:rsidR="00412AFF" w:rsidRDefault="00412AFF">
          <w:pPr>
            <w:pStyle w:val="Header"/>
            <w:ind w:right="-115"/>
            <w:jc w:val="right"/>
          </w:pPr>
        </w:p>
      </w:tc>
    </w:tr>
  </w:tbl>
  <w:p w14:paraId="1FF08FCB" w14:textId="77777777" w:rsidR="00412AFF" w:rsidRDefault="00412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4826F" w14:textId="77777777" w:rsidR="002D52E4" w:rsidRDefault="002D52E4" w:rsidP="002E637F">
      <w:r>
        <w:separator/>
      </w:r>
    </w:p>
  </w:footnote>
  <w:footnote w:type="continuationSeparator" w:id="0">
    <w:p w14:paraId="33312C64" w14:textId="77777777" w:rsidR="002D52E4" w:rsidRDefault="002D52E4" w:rsidP="002E637F">
      <w:r>
        <w:continuationSeparator/>
      </w:r>
    </w:p>
  </w:footnote>
  <w:footnote w:id="1">
    <w:p w14:paraId="1C94E062" w14:textId="097C2931" w:rsidR="002E637F" w:rsidRDefault="002E637F" w:rsidP="00E4317B">
      <w:pPr>
        <w:pStyle w:val="FootnoteText"/>
        <w:jc w:val="both"/>
      </w:pPr>
      <w:r w:rsidRPr="00F56B73">
        <w:rPr>
          <w:rStyle w:val="FootnoteCharacters"/>
          <w:rFonts w:ascii="Gill Sans MT" w:hAnsi="Gill Sans MT"/>
        </w:rPr>
        <w:footnoteRef/>
      </w:r>
      <w:r w:rsidRPr="00F56B73">
        <w:rPr>
          <w:rFonts w:ascii="Gill Sans MT" w:hAnsi="Gill Sans MT"/>
        </w:rPr>
        <w:tab/>
      </w:r>
      <w:r w:rsidRPr="00275DFA">
        <w:rPr>
          <w:rFonts w:ascii="Gill Sans MT" w:eastAsia="Gill Sans MT" w:hAnsi="Gill Sans MT" w:cs="Gill Sans MT"/>
        </w:rPr>
        <w:t>DPhil candidate</w:t>
      </w:r>
      <w:r w:rsidR="00E4317B">
        <w:rPr>
          <w:rFonts w:ascii="Gill Sans MT" w:eastAsia="Gill Sans MT" w:hAnsi="Gill Sans MT" w:cs="Gill Sans MT"/>
        </w:rPr>
        <w:t xml:space="preserve">, </w:t>
      </w:r>
      <w:r w:rsidRPr="00275DFA">
        <w:rPr>
          <w:rFonts w:ascii="Gill Sans MT" w:eastAsia="Gill Sans MT" w:hAnsi="Gill Sans MT" w:cs="Gill Sans MT"/>
        </w:rPr>
        <w:t>School of Anthropology and Museum Ethnography, University of Oxford</w:t>
      </w:r>
      <w:r w:rsidR="00275DFA">
        <w:rPr>
          <w:rFonts w:ascii="Gill Sans MT" w:eastAsia="Gill Sans MT" w:hAnsi="Gill Sans MT" w:cs="Gill Sans MT"/>
        </w:rPr>
        <w:t>. E</w:t>
      </w:r>
      <w:r w:rsidRPr="00275DFA">
        <w:rPr>
          <w:rFonts w:ascii="Gill Sans MT" w:eastAsia="Gill Sans MT" w:hAnsi="Gill Sans MT" w:cs="Gill Sans MT"/>
        </w:rPr>
        <w:t xml:space="preserve">mail: </w:t>
      </w:r>
      <w:hyperlink r:id="rId1" w:history="1">
        <w:r w:rsidR="00275DFA" w:rsidRPr="00586442">
          <w:rPr>
            <w:rStyle w:val="Hyperlink"/>
            <w:rFonts w:ascii="Gill Sans MT" w:eastAsia="Gill Sans MT" w:hAnsi="Gill Sans MT" w:cs="Gill Sans MT"/>
          </w:rPr>
          <w:t>harish.goutam@anthro.ox.ac.uk</w:t>
        </w:r>
      </w:hyperlink>
      <w:r w:rsidR="00275DFA">
        <w:rPr>
          <w:rFonts w:ascii="Gill Sans MT" w:eastAsia="Gill Sans MT" w:hAnsi="Gill Sans MT" w:cs="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Look w:val="06A0" w:firstRow="1" w:lastRow="0" w:firstColumn="1" w:lastColumn="0" w:noHBand="1" w:noVBand="1"/>
    </w:tblPr>
    <w:tblGrid>
      <w:gridCol w:w="3210"/>
      <w:gridCol w:w="3210"/>
      <w:gridCol w:w="3210"/>
    </w:tblGrid>
    <w:tr w:rsidR="00974C56" w14:paraId="4A5D9604" w14:textId="77777777">
      <w:trPr>
        <w:trHeight w:val="300"/>
      </w:trPr>
      <w:tc>
        <w:tcPr>
          <w:tcW w:w="3210" w:type="dxa"/>
        </w:tcPr>
        <w:p w14:paraId="1670C720" w14:textId="77777777" w:rsidR="00412AFF" w:rsidRDefault="00412AFF">
          <w:pPr>
            <w:pStyle w:val="Header"/>
            <w:ind w:left="-115"/>
          </w:pPr>
        </w:p>
      </w:tc>
      <w:tc>
        <w:tcPr>
          <w:tcW w:w="3210" w:type="dxa"/>
        </w:tcPr>
        <w:p w14:paraId="7F93E0F3" w14:textId="77777777" w:rsidR="00412AFF" w:rsidRDefault="00412AFF">
          <w:pPr>
            <w:pStyle w:val="Header"/>
            <w:jc w:val="center"/>
          </w:pPr>
        </w:p>
      </w:tc>
      <w:tc>
        <w:tcPr>
          <w:tcW w:w="3210" w:type="dxa"/>
        </w:tcPr>
        <w:p w14:paraId="6729D1AC" w14:textId="77777777" w:rsidR="00412AFF" w:rsidRDefault="00412AFF">
          <w:pPr>
            <w:pStyle w:val="Header"/>
            <w:ind w:right="-115"/>
            <w:jc w:val="right"/>
          </w:pPr>
        </w:p>
      </w:tc>
    </w:tr>
  </w:tbl>
  <w:p w14:paraId="313F123B" w14:textId="1A8650B8" w:rsidR="00275DFA" w:rsidRPr="00275DFA" w:rsidRDefault="00275DFA" w:rsidP="007D2B61">
    <w:pPr>
      <w:pStyle w:val="Header"/>
      <w:jc w:val="right"/>
      <w:rPr>
        <w:rFonts w:ascii="Gill Sans MT" w:hAnsi="Gill Sans MT"/>
        <w:i/>
        <w:iCs/>
      </w:rPr>
    </w:pPr>
    <w:r w:rsidRPr="00275DFA">
      <w:rPr>
        <w:rFonts w:ascii="Gill Sans MT" w:hAnsi="Gill Sans MT"/>
        <w:i/>
        <w:iCs/>
      </w:rPr>
      <w:t>Book reviews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Look w:val="06A0" w:firstRow="1" w:lastRow="0" w:firstColumn="1" w:lastColumn="0" w:noHBand="1" w:noVBand="1"/>
    </w:tblPr>
    <w:tblGrid>
      <w:gridCol w:w="3210"/>
      <w:gridCol w:w="3210"/>
      <w:gridCol w:w="3210"/>
    </w:tblGrid>
    <w:tr w:rsidR="00974C56" w14:paraId="5160B7F6" w14:textId="77777777">
      <w:trPr>
        <w:trHeight w:val="300"/>
      </w:trPr>
      <w:tc>
        <w:tcPr>
          <w:tcW w:w="3210" w:type="dxa"/>
        </w:tcPr>
        <w:p w14:paraId="27C181A1" w14:textId="77777777" w:rsidR="00412AFF" w:rsidRDefault="00412AFF">
          <w:pPr>
            <w:pStyle w:val="Header"/>
            <w:ind w:left="-115"/>
          </w:pPr>
        </w:p>
      </w:tc>
      <w:tc>
        <w:tcPr>
          <w:tcW w:w="3210" w:type="dxa"/>
        </w:tcPr>
        <w:p w14:paraId="4596CF03" w14:textId="77777777" w:rsidR="00412AFF" w:rsidRDefault="00412AFF">
          <w:pPr>
            <w:pStyle w:val="Header"/>
            <w:jc w:val="center"/>
          </w:pPr>
        </w:p>
      </w:tc>
      <w:tc>
        <w:tcPr>
          <w:tcW w:w="3210" w:type="dxa"/>
        </w:tcPr>
        <w:p w14:paraId="4590718B" w14:textId="77777777" w:rsidR="00412AFF" w:rsidRDefault="00412AFF">
          <w:pPr>
            <w:pStyle w:val="Header"/>
            <w:ind w:right="-115"/>
            <w:jc w:val="right"/>
          </w:pPr>
        </w:p>
      </w:tc>
    </w:tr>
  </w:tbl>
  <w:p w14:paraId="067E49BD" w14:textId="77777777" w:rsidR="00412AFF" w:rsidRDefault="00412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7F"/>
    <w:rsid w:val="000934FD"/>
    <w:rsid w:val="001A1941"/>
    <w:rsid w:val="00275DFA"/>
    <w:rsid w:val="002B1ECC"/>
    <w:rsid w:val="002D52E4"/>
    <w:rsid w:val="002E637F"/>
    <w:rsid w:val="00340AE6"/>
    <w:rsid w:val="00412AFF"/>
    <w:rsid w:val="00462023"/>
    <w:rsid w:val="00486AD8"/>
    <w:rsid w:val="004A0394"/>
    <w:rsid w:val="005940F6"/>
    <w:rsid w:val="00683000"/>
    <w:rsid w:val="006C4443"/>
    <w:rsid w:val="007018DD"/>
    <w:rsid w:val="007D2B61"/>
    <w:rsid w:val="0088197A"/>
    <w:rsid w:val="008C0CA5"/>
    <w:rsid w:val="008C118A"/>
    <w:rsid w:val="0096407B"/>
    <w:rsid w:val="009A54A9"/>
    <w:rsid w:val="00A0002D"/>
    <w:rsid w:val="00AD202C"/>
    <w:rsid w:val="00B37946"/>
    <w:rsid w:val="00B779FA"/>
    <w:rsid w:val="00C947E3"/>
    <w:rsid w:val="00CD25C1"/>
    <w:rsid w:val="00CF0C3D"/>
    <w:rsid w:val="00D4320B"/>
    <w:rsid w:val="00E4317B"/>
    <w:rsid w:val="00F36776"/>
    <w:rsid w:val="00F56B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C227"/>
  <w15:chartTrackingRefBased/>
  <w15:docId w15:val="{554474FE-79D6-1541-B905-1AEB3F16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37F"/>
    <w:pPr>
      <w:suppressAutoHyphens/>
    </w:pPr>
    <w:rPr>
      <w:rFonts w:ascii="Liberation Serif" w:eastAsia="Noto Serif CJK SC" w:hAnsi="Liberation Serif" w:cs="Noto Sans Devanagari"/>
      <w:lang w:eastAsia="zh-CN" w:bidi="hi-IN"/>
      <w14:ligatures w14:val="none"/>
    </w:rPr>
  </w:style>
  <w:style w:type="paragraph" w:styleId="Heading1">
    <w:name w:val="heading 1"/>
    <w:basedOn w:val="Normal"/>
    <w:next w:val="Normal"/>
    <w:link w:val="Heading1Char"/>
    <w:uiPriority w:val="9"/>
    <w:qFormat/>
    <w:rsid w:val="002E637F"/>
    <w:pPr>
      <w:keepNext/>
      <w:keepLines/>
      <w:suppressAutoHyphens w:val="0"/>
      <w:spacing w:before="360" w:after="80"/>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2E637F"/>
    <w:pPr>
      <w:keepNext/>
      <w:keepLines/>
      <w:suppressAutoHyphens w:val="0"/>
      <w:spacing w:before="160" w:after="80"/>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2E637F"/>
    <w:pPr>
      <w:keepNext/>
      <w:keepLines/>
      <w:suppressAutoHyphens w:val="0"/>
      <w:spacing w:before="160" w:after="80"/>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2E637F"/>
    <w:pPr>
      <w:keepNext/>
      <w:keepLines/>
      <w:suppressAutoHyphens w:val="0"/>
      <w:spacing w:before="80" w:after="40"/>
      <w:outlineLvl w:val="3"/>
    </w:pPr>
    <w:rPr>
      <w:rFonts w:asciiTheme="minorHAnsi" w:eastAsiaTheme="majorEastAsia" w:hAnsiTheme="minorHAnsi" w:cstheme="majorBidi"/>
      <w:i/>
      <w:iCs/>
      <w:color w:val="0F4761" w:themeColor="accent1" w:themeShade="BF"/>
      <w:lang w:eastAsia="en-US" w:bidi="ar-SA"/>
      <w14:ligatures w14:val="standardContextual"/>
    </w:rPr>
  </w:style>
  <w:style w:type="paragraph" w:styleId="Heading5">
    <w:name w:val="heading 5"/>
    <w:basedOn w:val="Normal"/>
    <w:next w:val="Normal"/>
    <w:link w:val="Heading5Char"/>
    <w:uiPriority w:val="9"/>
    <w:semiHidden/>
    <w:unhideWhenUsed/>
    <w:qFormat/>
    <w:rsid w:val="002E637F"/>
    <w:pPr>
      <w:keepNext/>
      <w:keepLines/>
      <w:suppressAutoHyphens w:val="0"/>
      <w:spacing w:before="80" w:after="40"/>
      <w:outlineLvl w:val="4"/>
    </w:pPr>
    <w:rPr>
      <w:rFonts w:asciiTheme="minorHAnsi" w:eastAsiaTheme="majorEastAsia" w:hAnsiTheme="minorHAnsi" w:cstheme="majorBidi"/>
      <w:color w:val="0F4761" w:themeColor="accent1" w:themeShade="BF"/>
      <w:lang w:eastAsia="en-US" w:bidi="ar-SA"/>
      <w14:ligatures w14:val="standardContextual"/>
    </w:rPr>
  </w:style>
  <w:style w:type="paragraph" w:styleId="Heading6">
    <w:name w:val="heading 6"/>
    <w:basedOn w:val="Normal"/>
    <w:next w:val="Normal"/>
    <w:link w:val="Heading6Char"/>
    <w:uiPriority w:val="9"/>
    <w:semiHidden/>
    <w:unhideWhenUsed/>
    <w:qFormat/>
    <w:rsid w:val="002E637F"/>
    <w:pPr>
      <w:keepNext/>
      <w:keepLines/>
      <w:suppressAutoHyphens w:val="0"/>
      <w:spacing w:before="40"/>
      <w:outlineLvl w:val="5"/>
    </w:pPr>
    <w:rPr>
      <w:rFonts w:asciiTheme="minorHAnsi" w:eastAsiaTheme="majorEastAsia" w:hAnsiTheme="minorHAnsi" w:cstheme="majorBidi"/>
      <w:i/>
      <w:iCs/>
      <w:color w:val="595959" w:themeColor="text1" w:themeTint="A6"/>
      <w:lang w:eastAsia="en-US" w:bidi="ar-SA"/>
      <w14:ligatures w14:val="standardContextual"/>
    </w:rPr>
  </w:style>
  <w:style w:type="paragraph" w:styleId="Heading7">
    <w:name w:val="heading 7"/>
    <w:basedOn w:val="Normal"/>
    <w:next w:val="Normal"/>
    <w:link w:val="Heading7Char"/>
    <w:uiPriority w:val="9"/>
    <w:semiHidden/>
    <w:unhideWhenUsed/>
    <w:qFormat/>
    <w:rsid w:val="002E637F"/>
    <w:pPr>
      <w:keepNext/>
      <w:keepLines/>
      <w:suppressAutoHyphens w:val="0"/>
      <w:spacing w:before="40"/>
      <w:outlineLvl w:val="6"/>
    </w:pPr>
    <w:rPr>
      <w:rFonts w:asciiTheme="minorHAnsi" w:eastAsiaTheme="majorEastAsia" w:hAnsiTheme="minorHAnsi" w:cstheme="majorBidi"/>
      <w:color w:val="595959" w:themeColor="text1" w:themeTint="A6"/>
      <w:lang w:eastAsia="en-US" w:bidi="ar-SA"/>
      <w14:ligatures w14:val="standardContextual"/>
    </w:rPr>
  </w:style>
  <w:style w:type="paragraph" w:styleId="Heading8">
    <w:name w:val="heading 8"/>
    <w:basedOn w:val="Normal"/>
    <w:next w:val="Normal"/>
    <w:link w:val="Heading8Char"/>
    <w:uiPriority w:val="9"/>
    <w:semiHidden/>
    <w:unhideWhenUsed/>
    <w:qFormat/>
    <w:rsid w:val="002E637F"/>
    <w:pPr>
      <w:keepNext/>
      <w:keepLines/>
      <w:suppressAutoHyphens w:val="0"/>
      <w:outlineLvl w:val="7"/>
    </w:pPr>
    <w:rPr>
      <w:rFonts w:asciiTheme="minorHAnsi" w:eastAsiaTheme="majorEastAsia" w:hAnsiTheme="minorHAnsi" w:cstheme="majorBidi"/>
      <w:i/>
      <w:iCs/>
      <w:color w:val="272727" w:themeColor="text1" w:themeTint="D8"/>
      <w:lang w:eastAsia="en-US" w:bidi="ar-SA"/>
      <w14:ligatures w14:val="standardContextual"/>
    </w:rPr>
  </w:style>
  <w:style w:type="paragraph" w:styleId="Heading9">
    <w:name w:val="heading 9"/>
    <w:basedOn w:val="Normal"/>
    <w:next w:val="Normal"/>
    <w:link w:val="Heading9Char"/>
    <w:uiPriority w:val="9"/>
    <w:semiHidden/>
    <w:unhideWhenUsed/>
    <w:qFormat/>
    <w:rsid w:val="002E637F"/>
    <w:pPr>
      <w:keepNext/>
      <w:keepLines/>
      <w:suppressAutoHyphens w:val="0"/>
      <w:outlineLvl w:val="8"/>
    </w:pPr>
    <w:rPr>
      <w:rFonts w:asciiTheme="minorHAnsi" w:eastAsiaTheme="majorEastAsia" w:hAnsiTheme="minorHAnsi" w:cstheme="majorBidi"/>
      <w:color w:val="272727" w:themeColor="text1" w:themeTint="D8"/>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NORMAL">
    <w:name w:val="LEB NORMAL"/>
    <w:qFormat/>
    <w:rsid w:val="007018DD"/>
    <w:pPr>
      <w:spacing w:before="240" w:after="240" w:line="480" w:lineRule="auto"/>
      <w:jc w:val="both"/>
    </w:pPr>
    <w:rPr>
      <w:rFonts w:ascii="Times New Roman" w:hAnsi="Times New Roman" w:cs="Times New Roman"/>
      <w:color w:val="000000" w:themeColor="text1"/>
      <w:kern w:val="0"/>
      <w:szCs w:val="32"/>
      <w14:ligatures w14:val="none"/>
    </w:rPr>
  </w:style>
  <w:style w:type="character" w:customStyle="1" w:styleId="Heading1Char">
    <w:name w:val="Heading 1 Char"/>
    <w:basedOn w:val="DefaultParagraphFont"/>
    <w:link w:val="Heading1"/>
    <w:uiPriority w:val="9"/>
    <w:rsid w:val="002E6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3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3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37F"/>
    <w:rPr>
      <w:rFonts w:eastAsiaTheme="majorEastAsia" w:cstheme="majorBidi"/>
      <w:color w:val="272727" w:themeColor="text1" w:themeTint="D8"/>
    </w:rPr>
  </w:style>
  <w:style w:type="paragraph" w:styleId="Title">
    <w:name w:val="Title"/>
    <w:basedOn w:val="Normal"/>
    <w:next w:val="Normal"/>
    <w:link w:val="TitleChar"/>
    <w:uiPriority w:val="10"/>
    <w:qFormat/>
    <w:rsid w:val="002E637F"/>
    <w:pPr>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2E6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37F"/>
    <w:pPr>
      <w:numPr>
        <w:ilvl w:val="1"/>
      </w:numPr>
      <w:suppressAutoHyphens w:val="0"/>
      <w:spacing w:after="160"/>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SubtitleChar">
    <w:name w:val="Subtitle Char"/>
    <w:basedOn w:val="DefaultParagraphFont"/>
    <w:link w:val="Subtitle"/>
    <w:uiPriority w:val="11"/>
    <w:rsid w:val="002E6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37F"/>
    <w:pPr>
      <w:suppressAutoHyphens w:val="0"/>
      <w:spacing w:before="160" w:after="160"/>
      <w:jc w:val="center"/>
    </w:pPr>
    <w:rPr>
      <w:rFonts w:asciiTheme="minorHAnsi" w:eastAsiaTheme="minorHAnsi" w:hAnsiTheme="minorHAnsi" w:cstheme="minorBidi"/>
      <w:i/>
      <w:iCs/>
      <w:color w:val="404040" w:themeColor="text1" w:themeTint="BF"/>
      <w:lang w:eastAsia="en-US" w:bidi="ar-SA"/>
      <w14:ligatures w14:val="standardContextual"/>
    </w:rPr>
  </w:style>
  <w:style w:type="character" w:customStyle="1" w:styleId="QuoteChar">
    <w:name w:val="Quote Char"/>
    <w:basedOn w:val="DefaultParagraphFont"/>
    <w:link w:val="Quote"/>
    <w:uiPriority w:val="29"/>
    <w:rsid w:val="002E637F"/>
    <w:rPr>
      <w:i/>
      <w:iCs/>
      <w:color w:val="404040" w:themeColor="text1" w:themeTint="BF"/>
    </w:rPr>
  </w:style>
  <w:style w:type="paragraph" w:styleId="ListParagraph">
    <w:name w:val="List Paragraph"/>
    <w:basedOn w:val="Normal"/>
    <w:uiPriority w:val="34"/>
    <w:qFormat/>
    <w:rsid w:val="002E637F"/>
    <w:pPr>
      <w:suppressAutoHyphens w:val="0"/>
      <w:ind w:left="720"/>
      <w:contextualSpacing/>
    </w:pPr>
    <w:rPr>
      <w:rFonts w:asciiTheme="minorHAnsi" w:eastAsiaTheme="minorHAnsi" w:hAnsiTheme="minorHAnsi" w:cstheme="minorBidi"/>
      <w:lang w:eastAsia="en-US" w:bidi="ar-SA"/>
      <w14:ligatures w14:val="standardContextual"/>
    </w:rPr>
  </w:style>
  <w:style w:type="character" w:styleId="IntenseEmphasis">
    <w:name w:val="Intense Emphasis"/>
    <w:basedOn w:val="DefaultParagraphFont"/>
    <w:uiPriority w:val="21"/>
    <w:qFormat/>
    <w:rsid w:val="002E637F"/>
    <w:rPr>
      <w:i/>
      <w:iCs/>
      <w:color w:val="0F4761" w:themeColor="accent1" w:themeShade="BF"/>
    </w:rPr>
  </w:style>
  <w:style w:type="paragraph" w:styleId="IntenseQuote">
    <w:name w:val="Intense Quote"/>
    <w:basedOn w:val="Normal"/>
    <w:next w:val="Normal"/>
    <w:link w:val="IntenseQuoteChar"/>
    <w:uiPriority w:val="30"/>
    <w:qFormat/>
    <w:rsid w:val="002E637F"/>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lang w:eastAsia="en-US" w:bidi="ar-SA"/>
      <w14:ligatures w14:val="standardContextual"/>
    </w:rPr>
  </w:style>
  <w:style w:type="character" w:customStyle="1" w:styleId="IntenseQuoteChar">
    <w:name w:val="Intense Quote Char"/>
    <w:basedOn w:val="DefaultParagraphFont"/>
    <w:link w:val="IntenseQuote"/>
    <w:uiPriority w:val="30"/>
    <w:rsid w:val="002E637F"/>
    <w:rPr>
      <w:i/>
      <w:iCs/>
      <w:color w:val="0F4761" w:themeColor="accent1" w:themeShade="BF"/>
    </w:rPr>
  </w:style>
  <w:style w:type="character" w:styleId="IntenseReference">
    <w:name w:val="Intense Reference"/>
    <w:basedOn w:val="DefaultParagraphFont"/>
    <w:uiPriority w:val="32"/>
    <w:qFormat/>
    <w:rsid w:val="002E637F"/>
    <w:rPr>
      <w:b/>
      <w:bCs/>
      <w:smallCaps/>
      <w:color w:val="0F4761" w:themeColor="accent1" w:themeShade="BF"/>
      <w:spacing w:val="5"/>
    </w:rPr>
  </w:style>
  <w:style w:type="character" w:customStyle="1" w:styleId="FootnoteCharacters">
    <w:name w:val="Footnote Characters"/>
    <w:qFormat/>
    <w:rsid w:val="002E637F"/>
    <w:rPr>
      <w:vertAlign w:val="superscript"/>
    </w:rPr>
  </w:style>
  <w:style w:type="character" w:styleId="FootnoteReference">
    <w:name w:val="footnote reference"/>
    <w:rsid w:val="002E637F"/>
    <w:rPr>
      <w:vertAlign w:val="superscript"/>
    </w:rPr>
  </w:style>
  <w:style w:type="character" w:customStyle="1" w:styleId="normaltextrun">
    <w:name w:val="normaltextrun"/>
    <w:basedOn w:val="DefaultParagraphFont"/>
    <w:uiPriority w:val="1"/>
    <w:qFormat/>
    <w:rsid w:val="002E637F"/>
  </w:style>
  <w:style w:type="character" w:customStyle="1" w:styleId="eop">
    <w:name w:val="eop"/>
    <w:basedOn w:val="DefaultParagraphFont"/>
    <w:uiPriority w:val="1"/>
    <w:qFormat/>
    <w:rsid w:val="002E637F"/>
  </w:style>
  <w:style w:type="character" w:styleId="Hyperlink">
    <w:name w:val="Hyperlink"/>
    <w:basedOn w:val="DefaultParagraphFont"/>
    <w:uiPriority w:val="99"/>
    <w:unhideWhenUsed/>
    <w:rsid w:val="002E637F"/>
    <w:rPr>
      <w:color w:val="467886" w:themeColor="hyperlink"/>
      <w:u w:val="single"/>
    </w:rPr>
  </w:style>
  <w:style w:type="character" w:customStyle="1" w:styleId="HeaderChar">
    <w:name w:val="Header Char"/>
    <w:basedOn w:val="DefaultParagraphFont"/>
    <w:link w:val="Header"/>
    <w:uiPriority w:val="99"/>
    <w:qFormat/>
    <w:rsid w:val="002E637F"/>
  </w:style>
  <w:style w:type="character" w:customStyle="1" w:styleId="FooterChar">
    <w:name w:val="Footer Char"/>
    <w:basedOn w:val="DefaultParagraphFont"/>
    <w:link w:val="Footer"/>
    <w:uiPriority w:val="99"/>
    <w:qFormat/>
    <w:rsid w:val="002E637F"/>
  </w:style>
  <w:style w:type="paragraph" w:styleId="FootnoteText">
    <w:name w:val="footnote text"/>
    <w:basedOn w:val="Normal"/>
    <w:link w:val="FootnoteTextChar"/>
    <w:rsid w:val="002E637F"/>
    <w:pPr>
      <w:suppressLineNumbers/>
      <w:ind w:left="340" w:hanging="340"/>
    </w:pPr>
    <w:rPr>
      <w:sz w:val="20"/>
      <w:szCs w:val="20"/>
    </w:rPr>
  </w:style>
  <w:style w:type="character" w:customStyle="1" w:styleId="FootnoteTextChar">
    <w:name w:val="Footnote Text Char"/>
    <w:basedOn w:val="DefaultParagraphFont"/>
    <w:link w:val="FootnoteText"/>
    <w:rsid w:val="002E637F"/>
    <w:rPr>
      <w:rFonts w:ascii="Liberation Serif" w:eastAsia="Noto Serif CJK SC" w:hAnsi="Liberation Serif" w:cs="Noto Sans Devanagari"/>
      <w:sz w:val="20"/>
      <w:szCs w:val="20"/>
      <w:lang w:eastAsia="zh-CN" w:bidi="hi-IN"/>
      <w14:ligatures w14:val="none"/>
    </w:rPr>
  </w:style>
  <w:style w:type="paragraph" w:styleId="Header">
    <w:name w:val="header"/>
    <w:basedOn w:val="Normal"/>
    <w:link w:val="HeaderChar"/>
    <w:uiPriority w:val="99"/>
    <w:unhideWhenUsed/>
    <w:rsid w:val="002E637F"/>
    <w:pPr>
      <w:tabs>
        <w:tab w:val="center" w:pos="4680"/>
        <w:tab w:val="right" w:pos="9360"/>
      </w:tabs>
    </w:pPr>
    <w:rPr>
      <w:rFonts w:asciiTheme="minorHAnsi" w:eastAsiaTheme="minorHAnsi" w:hAnsiTheme="minorHAnsi" w:cstheme="minorBidi"/>
      <w:lang w:eastAsia="en-US" w:bidi="ar-SA"/>
      <w14:ligatures w14:val="standardContextual"/>
    </w:rPr>
  </w:style>
  <w:style w:type="character" w:customStyle="1" w:styleId="HeaderChar1">
    <w:name w:val="Header Char1"/>
    <w:basedOn w:val="DefaultParagraphFont"/>
    <w:uiPriority w:val="99"/>
    <w:semiHidden/>
    <w:rsid w:val="002E637F"/>
    <w:rPr>
      <w:rFonts w:ascii="Liberation Serif" w:eastAsia="Noto Serif CJK SC" w:hAnsi="Liberation Serif" w:cs="Mangal"/>
      <w:szCs w:val="21"/>
      <w:lang w:eastAsia="zh-CN" w:bidi="hi-IN"/>
      <w14:ligatures w14:val="none"/>
    </w:rPr>
  </w:style>
  <w:style w:type="paragraph" w:styleId="Footer">
    <w:name w:val="footer"/>
    <w:basedOn w:val="Normal"/>
    <w:link w:val="FooterChar"/>
    <w:uiPriority w:val="99"/>
    <w:unhideWhenUsed/>
    <w:rsid w:val="002E637F"/>
    <w:pPr>
      <w:tabs>
        <w:tab w:val="center" w:pos="4680"/>
        <w:tab w:val="right" w:pos="9360"/>
      </w:tabs>
    </w:pPr>
    <w:rPr>
      <w:rFonts w:asciiTheme="minorHAnsi" w:eastAsiaTheme="minorHAnsi" w:hAnsiTheme="minorHAnsi" w:cstheme="minorBidi"/>
      <w:lang w:eastAsia="en-US" w:bidi="ar-SA"/>
      <w14:ligatures w14:val="standardContextual"/>
    </w:rPr>
  </w:style>
  <w:style w:type="character" w:customStyle="1" w:styleId="FooterChar1">
    <w:name w:val="Footer Char1"/>
    <w:basedOn w:val="DefaultParagraphFont"/>
    <w:uiPriority w:val="99"/>
    <w:semiHidden/>
    <w:rsid w:val="002E637F"/>
    <w:rPr>
      <w:rFonts w:ascii="Liberation Serif" w:eastAsia="Noto Serif CJK SC" w:hAnsi="Liberation Serif" w:cs="Mangal"/>
      <w:szCs w:val="21"/>
      <w:lang w:eastAsia="zh-CN" w:bidi="hi-IN"/>
      <w14:ligatures w14:val="none"/>
    </w:rPr>
  </w:style>
  <w:style w:type="character" w:styleId="UnresolvedMention">
    <w:name w:val="Unresolved Mention"/>
    <w:basedOn w:val="DefaultParagraphFont"/>
    <w:uiPriority w:val="99"/>
    <w:semiHidden/>
    <w:unhideWhenUsed/>
    <w:rsid w:val="0027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reativecommons.org/licenses/by-nc-nd/4.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harish.goutam@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Bergin</dc:creator>
  <cp:keywords/>
  <dc:description/>
  <cp:lastModifiedBy>Chihab El Khachab</cp:lastModifiedBy>
  <cp:revision>15</cp:revision>
  <dcterms:created xsi:type="dcterms:W3CDTF">2024-11-05T12:32:00Z</dcterms:created>
  <dcterms:modified xsi:type="dcterms:W3CDTF">2024-12-13T20:00:00Z</dcterms:modified>
</cp:coreProperties>
</file>