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6B34F" w14:textId="77777777" w:rsidR="00FD554B" w:rsidRPr="009C33F9" w:rsidRDefault="00FD554B" w:rsidP="00FD554B">
      <w:pPr>
        <w:spacing w:line="216" w:lineRule="auto"/>
        <w:jc w:val="center"/>
        <w:rPr>
          <w:rFonts w:ascii="Gill Sans MT" w:hAnsi="Gill Sans MT"/>
        </w:rPr>
      </w:pPr>
      <w:r w:rsidRPr="009C33F9">
        <w:rPr>
          <w:rFonts w:ascii="Gill Sans MT" w:hAnsi="Gill Sans MT"/>
          <w:noProof/>
          <w:lang w:val="en-US"/>
        </w:rPr>
        <w:drawing>
          <wp:inline distT="0" distB="0" distL="0" distR="0" wp14:anchorId="013A80E2" wp14:editId="3C6EFE79">
            <wp:extent cx="3863211" cy="896264"/>
            <wp:effectExtent l="19050" t="19050" r="23495" b="18415"/>
            <wp:docPr id="607858819" name="Picture 60785881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rgbClr val="156082">
                          <a:lumMod val="75000"/>
                        </a:srgbClr>
                      </a:solidFill>
                    </a:ln>
                  </pic:spPr>
                </pic:pic>
              </a:graphicData>
            </a:graphic>
          </wp:inline>
        </w:drawing>
      </w:r>
    </w:p>
    <w:p w14:paraId="5179D5F5" w14:textId="77777777" w:rsidR="00FD554B" w:rsidRPr="009C33F9" w:rsidRDefault="00FD554B" w:rsidP="00FD554B">
      <w:pPr>
        <w:spacing w:line="216" w:lineRule="auto"/>
        <w:jc w:val="both"/>
        <w:rPr>
          <w:rFonts w:ascii="Gill Sans MT" w:hAnsi="Gill Sans MT"/>
        </w:rPr>
      </w:pPr>
    </w:p>
    <w:p w14:paraId="4A12065F" w14:textId="77777777" w:rsidR="00FD554B" w:rsidRPr="009C33F9" w:rsidRDefault="00FD554B" w:rsidP="00FD554B">
      <w:pPr>
        <w:spacing w:line="216" w:lineRule="auto"/>
        <w:jc w:val="both"/>
        <w:rPr>
          <w:rFonts w:ascii="Gill Sans MT" w:hAnsi="Gill Sans MT"/>
        </w:rPr>
      </w:pPr>
    </w:p>
    <w:p w14:paraId="308B59B5" w14:textId="77777777" w:rsidR="00FD554B" w:rsidRPr="009C33F9" w:rsidRDefault="00FD554B" w:rsidP="00FD554B">
      <w:pPr>
        <w:spacing w:line="216" w:lineRule="auto"/>
        <w:jc w:val="both"/>
        <w:rPr>
          <w:rFonts w:ascii="Gill Sans MT" w:hAnsi="Gill Sans MT"/>
          <w:sz w:val="28"/>
          <w:szCs w:val="28"/>
        </w:rPr>
      </w:pPr>
      <w:bookmarkStart w:id="0" w:name="_Hlk184689190"/>
      <w:r w:rsidRPr="009C33F9">
        <w:rPr>
          <w:rFonts w:ascii="Gill Sans MT" w:hAnsi="Gill Sans MT"/>
          <w:b/>
          <w:bCs/>
          <w:sz w:val="28"/>
          <w:szCs w:val="28"/>
        </w:rPr>
        <w:t>ANDREA WRIGHT</w:t>
      </w:r>
      <w:r w:rsidRPr="009C33F9">
        <w:rPr>
          <w:rFonts w:ascii="Gill Sans MT" w:hAnsi="Gill Sans MT"/>
          <w:sz w:val="28"/>
          <w:szCs w:val="28"/>
        </w:rPr>
        <w:t xml:space="preserve">. </w:t>
      </w:r>
      <w:r w:rsidRPr="009C33F9">
        <w:rPr>
          <w:rFonts w:ascii="Gill Sans MT" w:hAnsi="Gill Sans MT"/>
          <w:i/>
          <w:iCs/>
          <w:sz w:val="28"/>
          <w:szCs w:val="28"/>
        </w:rPr>
        <w:t>BETWEEN DREAMS AND GHOSTS: INDIAN MIGRATION AND MIDDLE EASTERN OIL</w:t>
      </w:r>
      <w:r w:rsidRPr="009C33F9">
        <w:rPr>
          <w:rFonts w:ascii="Gill Sans MT" w:hAnsi="Gill Sans MT"/>
          <w:sz w:val="28"/>
          <w:szCs w:val="28"/>
        </w:rPr>
        <w:t xml:space="preserve">. STANFORD: STANFORD UNIVERSITY PRESS 2021. 288 P. ISBN: 9781503629516 </w:t>
      </w:r>
    </w:p>
    <w:bookmarkEnd w:id="0"/>
    <w:p w14:paraId="6CFD3D82" w14:textId="77777777" w:rsidR="00FD554B" w:rsidRPr="009C33F9" w:rsidRDefault="00FD554B" w:rsidP="00FD554B">
      <w:pPr>
        <w:spacing w:line="216" w:lineRule="auto"/>
        <w:jc w:val="both"/>
        <w:rPr>
          <w:rFonts w:ascii="Gill Sans MT" w:hAnsi="Gill Sans MT"/>
        </w:rPr>
      </w:pPr>
    </w:p>
    <w:p w14:paraId="4A2D8C60" w14:textId="77777777" w:rsidR="00FD554B" w:rsidRPr="009C33F9" w:rsidRDefault="00FD554B" w:rsidP="00FD554B">
      <w:pPr>
        <w:spacing w:line="216" w:lineRule="auto"/>
        <w:jc w:val="center"/>
        <w:rPr>
          <w:rFonts w:ascii="Gill Sans MT" w:hAnsi="Gill Sans MT"/>
        </w:rPr>
      </w:pPr>
      <w:r w:rsidRPr="009C33F9">
        <w:rPr>
          <w:rFonts w:ascii="Gill Sans MT" w:hAnsi="Gill Sans MT"/>
          <w:sz w:val="28"/>
          <w:szCs w:val="28"/>
        </w:rPr>
        <w:t>YU FURUKAWA</w:t>
      </w:r>
      <w:r w:rsidRPr="009C33F9">
        <w:rPr>
          <w:rFonts w:ascii="Gill Sans MT" w:hAnsi="Gill Sans MT"/>
          <w:sz w:val="28"/>
          <w:szCs w:val="28"/>
          <w:vertAlign w:val="superscript"/>
        </w:rPr>
        <w:footnoteReference w:id="1"/>
      </w:r>
    </w:p>
    <w:p w14:paraId="506F2B4C" w14:textId="77777777" w:rsidR="00FD554B" w:rsidRPr="009C33F9" w:rsidRDefault="00FD554B" w:rsidP="00FD554B">
      <w:pPr>
        <w:spacing w:line="216" w:lineRule="auto"/>
        <w:jc w:val="both"/>
        <w:rPr>
          <w:rFonts w:ascii="Gill Sans MT" w:hAnsi="Gill Sans MT"/>
        </w:rPr>
      </w:pPr>
    </w:p>
    <w:p w14:paraId="53DCD614" w14:textId="77777777" w:rsidR="00FD554B" w:rsidRPr="009C33F9" w:rsidRDefault="00FD554B" w:rsidP="00FD554B">
      <w:pPr>
        <w:spacing w:line="216" w:lineRule="auto"/>
        <w:jc w:val="both"/>
        <w:rPr>
          <w:rFonts w:ascii="Gill Sans MT" w:hAnsi="Gill Sans MT"/>
        </w:rPr>
      </w:pPr>
    </w:p>
    <w:p w14:paraId="5A0DA471" w14:textId="77777777" w:rsidR="00FD554B" w:rsidRPr="009C33F9" w:rsidRDefault="00FD554B" w:rsidP="00FD554B">
      <w:pPr>
        <w:spacing w:line="216" w:lineRule="auto"/>
        <w:jc w:val="both"/>
        <w:rPr>
          <w:rFonts w:ascii="Gill Sans MT" w:hAnsi="Gill Sans MT"/>
        </w:rPr>
      </w:pPr>
      <w:r w:rsidRPr="009C33F9">
        <w:rPr>
          <w:rFonts w:ascii="Gill Sans MT" w:hAnsi="Gill Sans MT"/>
        </w:rPr>
        <w:t>Andrea Wright’s meticulous research explores the intricate dynamics of the Indian immigrant population involved in oil production within the Gulf region. Through extensive multi-sited fieldwork involving Indian bureaucrats, recruiters, oil companies, and Indian communities, Wright compellingly illustrates the intersection of colonial, imperial, national, and neoliberal influences surrounding oil production on the experiences of Indian migrants. Her work illuminates how these structural logics shape migratory experiences and, in turn, how migrants navigate and respond to these structural constraints.</w:t>
      </w:r>
    </w:p>
    <w:p w14:paraId="586A6176" w14:textId="77777777" w:rsidR="00FD554B" w:rsidRPr="009C33F9" w:rsidRDefault="00FD554B" w:rsidP="00FD554B">
      <w:pPr>
        <w:spacing w:line="216" w:lineRule="auto"/>
        <w:ind w:firstLine="720"/>
        <w:jc w:val="both"/>
        <w:rPr>
          <w:rFonts w:ascii="Gill Sans MT" w:hAnsi="Gill Sans MT"/>
        </w:rPr>
      </w:pPr>
      <w:r w:rsidRPr="009C33F9">
        <w:rPr>
          <w:rFonts w:ascii="Gill Sans MT" w:hAnsi="Gill Sans MT"/>
        </w:rPr>
        <w:t>The book is divided into three parts. In Part I, spanning three chapters, Wright discusses how corporate, governmental policies and the international brand image of Indian immigrants configure the experiences of Indian immigrants migrating to the Gulf and examines their response to these configurations. Chapter 1 uncovers the Indian government’s dual approach, stemming from the tension between neoliberal and colonial logic; advocating rights of movement while regulating outward mobility by invoking discourses of vulnerability. In addition to these conflicting logics, Chapter 2 demonstrates how the Indian state fosters Indian immigrant entrepreneurship to bolster India’s global image within global capitalist markets. Thus, Indian immigrants to the Gulf find themselves situated within colonial, capitalist, and neoliberal structures. However, Chapter 3 showcases that this situation does not necessarily constrain these individuals within these structural factors. Instead, by creating networks with government bureaucrats, recruiting agencies and oil company managers, migrants attempt to navigate and negotiate within these structures.</w:t>
      </w:r>
    </w:p>
    <w:p w14:paraId="0429C09D" w14:textId="77777777" w:rsidR="00FD554B" w:rsidRPr="009C33F9" w:rsidRDefault="00FD554B" w:rsidP="00FD554B">
      <w:pPr>
        <w:spacing w:line="216" w:lineRule="auto"/>
        <w:ind w:firstLine="720"/>
        <w:jc w:val="both"/>
        <w:rPr>
          <w:rFonts w:ascii="Gill Sans MT" w:hAnsi="Gill Sans MT"/>
        </w:rPr>
      </w:pPr>
      <w:r w:rsidRPr="009C33F9">
        <w:rPr>
          <w:rFonts w:ascii="Gill Sans MT" w:hAnsi="Gill Sans MT"/>
        </w:rPr>
        <w:t>Part II composed of Chapters 4 and 5, examines the significance that migrants and their families attribute to labour migration to the Gulf. Chapter 4 demonstrates that remitting or accumulating money for their daughters</w:t>
      </w:r>
      <w:r w:rsidRPr="009C33F9">
        <w:rPr>
          <w:rFonts w:ascii="Gill Sans MT" w:hAnsi="Gill Sans MT" w:cs="Gill Sans MT"/>
        </w:rPr>
        <w:t>’</w:t>
      </w:r>
      <w:r w:rsidRPr="009C33F9">
        <w:rPr>
          <w:rFonts w:ascii="Gill Sans MT" w:hAnsi="Gill Sans MT"/>
        </w:rPr>
        <w:t xml:space="preserve"> or sisters</w:t>
      </w:r>
      <w:r w:rsidRPr="009C33F9">
        <w:rPr>
          <w:rFonts w:ascii="Gill Sans MT" w:hAnsi="Gill Sans MT" w:cs="Gill Sans MT"/>
        </w:rPr>
        <w:t>’</w:t>
      </w:r>
      <w:r w:rsidRPr="009C33F9">
        <w:rPr>
          <w:rFonts w:ascii="Gill Sans MT" w:hAnsi="Gill Sans MT"/>
        </w:rPr>
        <w:t xml:space="preserve"> marriages is perceived, by male Indian migrants in the Gulf, as fulfilling familial obligations and showcasing their masculinity. In Chapter 5, migration is also described as a means for Indian migrants to enhance self-esteem by integrating themselves into India</w:t>
      </w:r>
      <w:r w:rsidRPr="009C33F9">
        <w:rPr>
          <w:rFonts w:ascii="Gill Sans MT" w:hAnsi="Gill Sans MT" w:cs="Gill Sans MT"/>
        </w:rPr>
        <w:t>’</w:t>
      </w:r>
      <w:r w:rsidRPr="009C33F9">
        <w:rPr>
          <w:rFonts w:ascii="Gill Sans MT" w:hAnsi="Gill Sans MT"/>
        </w:rPr>
        <w:t xml:space="preserve">s modernity and national development. In one interpretation, it is safe to say that they are performing or internalizing roles imposed by the Indian state to protect India’s brand image in the global market, as outlined in Part I. Becoming involved in such a national project also provides them with a sense of escape and a means to overcome the inequalities created by national immigration policies and colonial, neoliberal logic, as delineated in Part I. </w:t>
      </w:r>
    </w:p>
    <w:p w14:paraId="50CF0B38" w14:textId="77777777" w:rsidR="00FD554B" w:rsidRPr="009C33F9" w:rsidRDefault="00FD554B" w:rsidP="00FD554B">
      <w:pPr>
        <w:spacing w:line="216" w:lineRule="auto"/>
        <w:ind w:firstLine="720"/>
        <w:jc w:val="both"/>
        <w:rPr>
          <w:rFonts w:ascii="Gill Sans MT" w:hAnsi="Gill Sans MT"/>
        </w:rPr>
      </w:pPr>
      <w:r w:rsidRPr="009C33F9">
        <w:rPr>
          <w:rFonts w:ascii="Gill Sans MT" w:hAnsi="Gill Sans MT"/>
        </w:rPr>
        <w:t xml:space="preserve">Part III illustrates how colonial </w:t>
      </w:r>
      <w:proofErr w:type="gramStart"/>
      <w:r w:rsidRPr="009C33F9">
        <w:rPr>
          <w:rFonts w:ascii="Gill Sans MT" w:hAnsi="Gill Sans MT"/>
        </w:rPr>
        <w:t>capitalism</w:t>
      </w:r>
      <w:proofErr w:type="gramEnd"/>
      <w:r w:rsidRPr="009C33F9">
        <w:rPr>
          <w:rFonts w:ascii="Gill Sans MT" w:hAnsi="Gill Sans MT"/>
        </w:rPr>
        <w:t xml:space="preserve"> and neoliberal corporate practices legitimise and reinforce racialised hierarchies, along with the diffusion of self-responsibility ideology that results in limited workers’ rights. Chapter 6 highlights the harsh labour conditions experienced by Indian migrants in the Gulf, characterised by their inability to organize strikes to protest current labour conditions and their isolation at labour camps. These unfair and inhumane treatments stem from conventional practices by oil companies and the British colonial government, still constraining migrant workers through the use of racialised </w:t>
      </w:r>
      <w:r w:rsidRPr="009C33F9">
        <w:rPr>
          <w:rFonts w:ascii="Gill Sans MT" w:hAnsi="Gill Sans MT"/>
        </w:rPr>
        <w:lastRenderedPageBreak/>
        <w:t xml:space="preserve">hierarchies and associating oil production with national security. Chapter 7 shows how discourse on death and safety in oil production serves to create a disciplined and mobile workforce, placing responsibility for their safety on the individuals themselves. This individualised safety approach facilitates deflecting corporate liability regarding safety concerns. </w:t>
      </w:r>
    </w:p>
    <w:p w14:paraId="31EE486C" w14:textId="77777777" w:rsidR="00FD554B" w:rsidRPr="009C33F9" w:rsidRDefault="00FD554B" w:rsidP="00FD554B">
      <w:pPr>
        <w:spacing w:line="216" w:lineRule="auto"/>
        <w:ind w:firstLine="720"/>
        <w:jc w:val="both"/>
        <w:rPr>
          <w:rFonts w:ascii="Gill Sans MT" w:hAnsi="Gill Sans MT"/>
        </w:rPr>
      </w:pPr>
      <w:r w:rsidRPr="009C33F9">
        <w:rPr>
          <w:rFonts w:ascii="Gill Sans MT" w:hAnsi="Gill Sans MT"/>
        </w:rPr>
        <w:t>The first intriguing aspect of this book lies in the metaphor of ‘dreams and ghosts’, through which migrants understand and explain their migratory experiences. They describe the involvement of national brand protection or engagement in capitalist oil projects as a pursuit of dreams. These dreams are built on the stories of ghosts that act as a reminder of past traditions, obligations, and histories. This juxtaposition between dreams and ghosts is indicative of a migrant’s understanding of temporality. Temporality is one of the key logics and scales of both mobility and immobility (McNevin 2020). Temporality is often received as one of the governmentalities regulating human (</w:t>
      </w:r>
      <w:proofErr w:type="spellStart"/>
      <w:r w:rsidRPr="009C33F9">
        <w:rPr>
          <w:rFonts w:ascii="Gill Sans MT" w:hAnsi="Gill Sans MT"/>
        </w:rPr>
        <w:t>im</w:t>
      </w:r>
      <w:proofErr w:type="spellEnd"/>
      <w:r w:rsidRPr="009C33F9">
        <w:rPr>
          <w:rFonts w:ascii="Gill Sans MT" w:hAnsi="Gill Sans MT"/>
        </w:rPr>
        <w:t xml:space="preserve">)mobility and as a key component shaping migrants’ emotions – such as frustration and fear – during their migratory experiences. For example, being kept waiting for the visa application process discourages people from applying for it, effectively regulating migration while inducing frustration among applicants. Thus, </w:t>
      </w:r>
      <w:proofErr w:type="spellStart"/>
      <w:r w:rsidRPr="009C33F9">
        <w:rPr>
          <w:rFonts w:ascii="Gill Sans MT" w:hAnsi="Gill Sans MT"/>
        </w:rPr>
        <w:t>temporarity</w:t>
      </w:r>
      <w:proofErr w:type="spellEnd"/>
      <w:r w:rsidRPr="009C33F9">
        <w:rPr>
          <w:rFonts w:ascii="Gill Sans MT" w:hAnsi="Gill Sans MT"/>
        </w:rPr>
        <w:t xml:space="preserve"> serves as one of the important frameworks for migration analysis. Associating dreams and ghosts with future and ghosts respectively reflects on one of migrants’ temporal understanding of their experiences. Notably, interpreting future temporality (dreams) through the past (ghosts) demonstrates the interconnectedness between past and future within their temporal reasoning. This interconnectedness highlights how migrants construct their temporal logic by bridging past experiences with future aspirations.</w:t>
      </w:r>
    </w:p>
    <w:p w14:paraId="1D5D325A" w14:textId="77777777" w:rsidR="00FD554B" w:rsidRPr="009C33F9" w:rsidRDefault="00FD554B" w:rsidP="00FD554B">
      <w:pPr>
        <w:spacing w:line="216" w:lineRule="auto"/>
        <w:ind w:firstLine="720"/>
        <w:jc w:val="both"/>
        <w:rPr>
          <w:rFonts w:ascii="Gill Sans MT" w:hAnsi="Gill Sans MT"/>
        </w:rPr>
      </w:pPr>
      <w:r w:rsidRPr="009C33F9">
        <w:rPr>
          <w:rFonts w:ascii="Gill Sans MT" w:hAnsi="Gill Sans MT"/>
        </w:rPr>
        <w:t>Another interesting part of the book is the interplay between structure and agency surrounding Indian migrants. It is widely acknowledged that migrants possess the agency to negotiate with structural constraints, before, during, and after migratory journeys (Castles, De Haas and Miller 2020). This dynamic was explicitly exemplified in the book, where potential Indian migrants form networks with governmental bureaucrats and recruiting agencies to enhance their chances of employment. Similarly, Indian migrants reframe their experience of being commodified in the global capitalist market and the ensuing denial of basic labour rights, by associating it with involvement in national projects and taking pride in representing India as a nation. These case studies provide valuable insights into how transnational migrants manoeuvre within and reshape global capitalism, colonial, and neoliberal logics and hierarchies.</w:t>
      </w:r>
    </w:p>
    <w:p w14:paraId="1B615561" w14:textId="77777777" w:rsidR="00FD554B" w:rsidRPr="009C33F9" w:rsidRDefault="00FD554B" w:rsidP="00FD554B">
      <w:pPr>
        <w:spacing w:line="216" w:lineRule="auto"/>
        <w:jc w:val="both"/>
        <w:rPr>
          <w:rFonts w:ascii="Gill Sans MT" w:hAnsi="Gill Sans MT"/>
        </w:rPr>
      </w:pPr>
      <w:r w:rsidRPr="009C33F9">
        <w:rPr>
          <w:rFonts w:ascii="Gill Sans MT" w:hAnsi="Gill Sans MT"/>
        </w:rPr>
        <w:t xml:space="preserve">While it might seem ambitious, it would have been advantageous if the author had clarified how her work connects to discussions in the field of migration and economics. In particular, the aforementioned insights into migrant agency within structural constraints can be a potential counterpoint against functionalist approaches such as push-pull theory, which often overlooks agency-structural interaction. However, such contributions can be also articulated by potential readers and the book stands as an impressive piece of work. </w:t>
      </w:r>
    </w:p>
    <w:p w14:paraId="001523F0" w14:textId="77777777" w:rsidR="00FD554B" w:rsidRPr="009C33F9" w:rsidRDefault="00FD554B" w:rsidP="00FD554B">
      <w:pPr>
        <w:spacing w:line="216" w:lineRule="auto"/>
        <w:jc w:val="both"/>
        <w:rPr>
          <w:rFonts w:ascii="Gill Sans MT" w:hAnsi="Gill Sans MT"/>
        </w:rPr>
      </w:pPr>
    </w:p>
    <w:p w14:paraId="46105C6B" w14:textId="77777777" w:rsidR="00FD554B" w:rsidRPr="009C33F9" w:rsidRDefault="00FD554B" w:rsidP="00FD554B">
      <w:pPr>
        <w:spacing w:line="216" w:lineRule="auto"/>
        <w:jc w:val="both"/>
        <w:rPr>
          <w:rFonts w:ascii="Gill Sans MT" w:hAnsi="Gill Sans MT"/>
          <w:b/>
          <w:bCs/>
        </w:rPr>
      </w:pPr>
      <w:r w:rsidRPr="009C33F9">
        <w:rPr>
          <w:rFonts w:ascii="Gill Sans MT" w:hAnsi="Gill Sans MT"/>
          <w:b/>
          <w:bCs/>
          <w:sz w:val="28"/>
          <w:szCs w:val="28"/>
        </w:rPr>
        <w:t>Bibliography</w:t>
      </w:r>
    </w:p>
    <w:p w14:paraId="7CB6517B" w14:textId="77777777" w:rsidR="00FD554B" w:rsidRPr="009C33F9" w:rsidRDefault="00FD554B" w:rsidP="00FD554B">
      <w:pPr>
        <w:spacing w:line="216" w:lineRule="auto"/>
        <w:jc w:val="both"/>
        <w:rPr>
          <w:rFonts w:ascii="Gill Sans MT" w:hAnsi="Gill Sans MT"/>
          <w:b/>
          <w:bCs/>
        </w:rPr>
      </w:pPr>
    </w:p>
    <w:p w14:paraId="7960D6A3" w14:textId="77777777" w:rsidR="00FD554B" w:rsidRPr="009C33F9" w:rsidRDefault="00FD554B" w:rsidP="00FD554B">
      <w:pPr>
        <w:spacing w:line="216" w:lineRule="auto"/>
        <w:jc w:val="both"/>
        <w:rPr>
          <w:rFonts w:ascii="Gill Sans MT" w:hAnsi="Gill Sans MT"/>
          <w:b/>
          <w:bCs/>
        </w:rPr>
      </w:pPr>
      <w:r w:rsidRPr="009C33F9">
        <w:rPr>
          <w:rFonts w:ascii="Gill Sans MT" w:hAnsi="Gill Sans MT"/>
        </w:rPr>
        <w:t xml:space="preserve">Castles Stephen, de Haas, Hein and Mark J. Miller 2020. </w:t>
      </w:r>
      <w:r w:rsidRPr="009C33F9">
        <w:rPr>
          <w:rFonts w:ascii="Gill Sans MT" w:hAnsi="Gill Sans MT"/>
          <w:i/>
          <w:iCs/>
        </w:rPr>
        <w:t>The age of migration: international population movements in the modern world</w:t>
      </w:r>
      <w:r w:rsidRPr="009C33F9">
        <w:rPr>
          <w:rFonts w:ascii="Gill Sans MT" w:hAnsi="Gill Sans MT"/>
        </w:rPr>
        <w:t>, New York: Bloomsbury.</w:t>
      </w:r>
    </w:p>
    <w:p w14:paraId="13172E44" w14:textId="77777777" w:rsidR="00FD554B" w:rsidRPr="009C33F9" w:rsidRDefault="00FD554B" w:rsidP="00FD554B">
      <w:pPr>
        <w:spacing w:line="216" w:lineRule="auto"/>
        <w:jc w:val="both"/>
        <w:rPr>
          <w:rFonts w:ascii="Gill Sans MT" w:hAnsi="Gill Sans MT"/>
        </w:rPr>
      </w:pPr>
    </w:p>
    <w:p w14:paraId="7B56B4B3" w14:textId="77777777" w:rsidR="00FD554B" w:rsidRPr="009C33F9" w:rsidRDefault="00FD554B" w:rsidP="00FD554B">
      <w:pPr>
        <w:spacing w:line="216" w:lineRule="auto"/>
        <w:jc w:val="both"/>
        <w:rPr>
          <w:rFonts w:ascii="Gill Sans MT" w:hAnsi="Gill Sans MT"/>
        </w:rPr>
      </w:pPr>
      <w:r w:rsidRPr="009C33F9">
        <w:rPr>
          <w:rFonts w:ascii="Gill Sans MT" w:hAnsi="Gill Sans MT"/>
        </w:rPr>
        <w:t xml:space="preserve">McNevin, Anne 2020. Time and the figure of the citizen, </w:t>
      </w:r>
      <w:r w:rsidRPr="009C33F9">
        <w:rPr>
          <w:rFonts w:ascii="Gill Sans MT" w:hAnsi="Gill Sans MT"/>
          <w:i/>
          <w:iCs/>
        </w:rPr>
        <w:t>International Journal of Politics</w:t>
      </w:r>
      <w:r w:rsidRPr="009C33F9">
        <w:rPr>
          <w:rFonts w:ascii="Gill Sans MT" w:hAnsi="Gill Sans MT"/>
        </w:rPr>
        <w:t xml:space="preserve"> 33/4, 545-559. doi:10.1007/s10767-020-09358-4</w:t>
      </w:r>
    </w:p>
    <w:p w14:paraId="485F3A9A" w14:textId="77777777" w:rsidR="00FD554B" w:rsidRPr="009C33F9" w:rsidRDefault="00FD554B" w:rsidP="00FD554B">
      <w:pPr>
        <w:spacing w:line="216" w:lineRule="auto"/>
        <w:jc w:val="both"/>
        <w:rPr>
          <w:rFonts w:ascii="Gill Sans MT" w:eastAsia="Gill Sans MT" w:hAnsi="Gill Sans MT" w:cs="Gill Sans MT"/>
          <w:color w:val="000000" w:themeColor="text1"/>
          <w:lang w:val="en-US"/>
        </w:rPr>
      </w:pPr>
    </w:p>
    <w:p w14:paraId="0857FE4A" w14:textId="77777777" w:rsidR="00FD554B" w:rsidRPr="009C33F9" w:rsidRDefault="00FD554B" w:rsidP="00FD554B">
      <w:pPr>
        <w:spacing w:line="216" w:lineRule="auto"/>
        <w:jc w:val="both"/>
        <w:rPr>
          <w:rFonts w:ascii="Gill Sans MT" w:eastAsia="Gill Sans MT" w:hAnsi="Gill Sans MT" w:cs="Gill Sans MT"/>
          <w:color w:val="000000" w:themeColor="text1"/>
          <w:lang w:val="en-US"/>
        </w:rPr>
      </w:pPr>
      <w:r w:rsidRPr="009C33F9">
        <w:rPr>
          <w:rFonts w:ascii="Gill Sans MT" w:eastAsia="PMingLiU" w:hAnsi="Gill Sans MT" w:cs="Arial"/>
          <w:noProof/>
          <w:lang w:val="en-US"/>
        </w:rPr>
        <mc:AlternateContent>
          <mc:Choice Requires="wps">
            <w:drawing>
              <wp:anchor distT="0" distB="0" distL="114300" distR="114300" simplePos="0" relativeHeight="251659264" behindDoc="0" locked="0" layoutInCell="1" allowOverlap="1" wp14:anchorId="09252D6C" wp14:editId="724C2F6B">
                <wp:simplePos x="0" y="0"/>
                <wp:positionH relativeFrom="column">
                  <wp:posOffset>0</wp:posOffset>
                </wp:positionH>
                <wp:positionV relativeFrom="paragraph">
                  <wp:posOffset>0</wp:posOffset>
                </wp:positionV>
                <wp:extent cx="5974080" cy="0"/>
                <wp:effectExtent l="0" t="0" r="0" b="0"/>
                <wp:wrapNone/>
                <wp:docPr id="1685353630" name="Straight Connector 1685353630"/>
                <wp:cNvGraphicFramePr/>
                <a:graphic xmlns:a="http://schemas.openxmlformats.org/drawingml/2006/main">
                  <a:graphicData uri="http://schemas.microsoft.com/office/word/2010/wordprocessingShape">
                    <wps:wsp>
                      <wps:cNvCnPr/>
                      <wps:spPr>
                        <a:xfrm>
                          <a:off x="0" y="0"/>
                          <a:ext cx="597408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62359E44" id="Straight Connector 168535363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7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" strokecolor="#156082" strokeweight=".5pt">
                <v:stroke joinstyle="miter"/>
              </v:line>
            </w:pict>
          </mc:Fallback>
        </mc:AlternateContent>
      </w:r>
    </w:p>
    <w:p w14:paraId="32C31647" w14:textId="77777777" w:rsidR="00FD554B" w:rsidRPr="006C32D2" w:rsidRDefault="00FD554B" w:rsidP="00FD554B">
      <w:pPr>
        <w:spacing w:line="216" w:lineRule="auto"/>
        <w:jc w:val="both"/>
        <w:rPr>
          <w:rFonts w:ascii="Gill Sans MT" w:eastAsia="Gill Sans MT" w:hAnsi="Gill Sans MT" w:cs="Gill Sans MT"/>
          <w:color w:val="000000" w:themeColor="text1"/>
        </w:rPr>
      </w:pPr>
      <w:r>
        <w:rPr>
          <w:rFonts w:ascii="Gill Sans MT" w:eastAsia="MS Mincho" w:hAnsi="Gill Sans MT" w:cs="Arial"/>
          <w:noProof/>
          <w:lang w:val="en-US" w:eastAsia="zh-CN"/>
        </w:rPr>
        <w:drawing>
          <wp:anchor distT="0" distB="0" distL="114300" distR="114300" simplePos="0" relativeHeight="251660288" behindDoc="1" locked="0" layoutInCell="1" allowOverlap="1" wp14:anchorId="6FC41BFF" wp14:editId="5172F6DA">
            <wp:simplePos x="0" y="0"/>
            <wp:positionH relativeFrom="column">
              <wp:posOffset>4511040</wp:posOffset>
            </wp:positionH>
            <wp:positionV relativeFrom="paragraph">
              <wp:posOffset>895985</wp:posOffset>
            </wp:positionV>
            <wp:extent cx="1226820" cy="426720"/>
            <wp:effectExtent l="0" t="0" r="0" b="0"/>
            <wp:wrapNone/>
            <wp:docPr id="2096627109" name="Picture 23" descr="A sign with a person and dollar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27109" name="Picture 23" descr="A sign with a person and dollar symb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820" cy="426720"/>
                    </a:xfrm>
                    <a:prstGeom prst="rect">
                      <a:avLst/>
                    </a:prstGeom>
                    <a:noFill/>
                    <a:ln>
                      <a:noFill/>
                    </a:ln>
                  </pic:spPr>
                </pic:pic>
              </a:graphicData>
            </a:graphic>
          </wp:anchor>
        </w:drawing>
      </w:r>
      <w:r w:rsidRPr="009C33F9">
        <w:rPr>
          <w:rFonts w:ascii="Gill Sans MT" w:eastAsia="Gill Sans MT" w:hAnsi="Gill Sans MT" w:cs="Gill Sans MT"/>
          <w:color w:val="000000" w:themeColor="text1"/>
          <w:lang w:val="en-US"/>
        </w:rPr>
        <w:t>This work is copyright of the author. It has been published by JASO under a Creative Commons Attribution-</w:t>
      </w:r>
      <w:proofErr w:type="spellStart"/>
      <w:r w:rsidRPr="009C33F9">
        <w:rPr>
          <w:rFonts w:ascii="Gill Sans MT" w:eastAsia="Gill Sans MT" w:hAnsi="Gill Sans MT" w:cs="Gill Sans MT"/>
          <w:color w:val="000000" w:themeColor="text1"/>
          <w:lang w:val="en-US"/>
        </w:rPr>
        <w:t>NonCommercial</w:t>
      </w:r>
      <w:proofErr w:type="spellEnd"/>
      <w:r w:rsidRPr="009C33F9">
        <w:rPr>
          <w:rFonts w:ascii="Gill Sans MT" w:eastAsia="Gill Sans MT" w:hAnsi="Gill Sans MT" w:cs="Gill Sans MT"/>
          <w:color w:val="000000" w:themeColor="text1"/>
          <w:lang w:val="en-US"/>
        </w:rPr>
        <w:t>-</w:t>
      </w:r>
      <w:proofErr w:type="spellStart"/>
      <w:r w:rsidRPr="009C33F9">
        <w:rPr>
          <w:rFonts w:ascii="Gill Sans MT" w:eastAsia="Gill Sans MT" w:hAnsi="Gill Sans MT" w:cs="Gill Sans MT"/>
          <w:color w:val="000000" w:themeColor="text1"/>
          <w:lang w:val="en-US"/>
        </w:rPr>
        <w:t>NonDerivatives</w:t>
      </w:r>
      <w:proofErr w:type="spellEnd"/>
      <w:r w:rsidRPr="009C33F9">
        <w:rPr>
          <w:rFonts w:ascii="Gill Sans MT" w:eastAsia="Gill Sans MT" w:hAnsi="Gill Sans MT" w:cs="Gill Sans MT"/>
          <w:color w:val="000000" w:themeColor="text1"/>
          <w:lang w:val="en-US"/>
        </w:rPr>
        <w:t xml:space="preserve"> </w:t>
      </w:r>
      <w:proofErr w:type="spellStart"/>
      <w:r w:rsidRPr="009C33F9">
        <w:rPr>
          <w:rFonts w:ascii="Gill Sans MT" w:eastAsia="Gill Sans MT" w:hAnsi="Gill Sans MT" w:cs="Gill Sans MT"/>
          <w:color w:val="000000" w:themeColor="text1"/>
          <w:lang w:val="en-US"/>
        </w:rPr>
        <w:t>ShareAlike</w:t>
      </w:r>
      <w:proofErr w:type="spellEnd"/>
      <w:r w:rsidRPr="009C33F9">
        <w:rPr>
          <w:rFonts w:ascii="Gill Sans MT" w:eastAsia="Gill Sans MT" w:hAnsi="Gill Sans MT" w:cs="Gill Sans MT"/>
          <w:color w:val="000000" w:themeColor="text1"/>
          <w:lang w:val="en-US"/>
        </w:rPr>
        <w:t xml:space="preserve"> License (CC BY NC ND 4.0) that allows others to share the work with an acknowledgement of the work's authorship and initial publication in this journal </w:t>
      </w:r>
      <w:proofErr w:type="gramStart"/>
      <w:r w:rsidRPr="009C33F9">
        <w:rPr>
          <w:rFonts w:ascii="Gill Sans MT" w:eastAsia="Gill Sans MT" w:hAnsi="Gill Sans MT" w:cs="Gill Sans MT"/>
          <w:color w:val="000000" w:themeColor="text1"/>
          <w:lang w:val="en-US"/>
        </w:rPr>
        <w:t>as long as</w:t>
      </w:r>
      <w:proofErr w:type="gramEnd"/>
      <w:r w:rsidRPr="009C33F9">
        <w:rPr>
          <w:rFonts w:ascii="Gill Sans MT" w:eastAsia="Gill Sans MT" w:hAnsi="Gill Sans MT" w:cs="Gill Sans MT"/>
          <w:color w:val="000000" w:themeColor="text1"/>
          <w:lang w:val="en-US"/>
        </w:rPr>
        <w:t xml:space="preserve"> it is non-commercial and that those using the work must agree to distribute it under the same license as the original. </w:t>
      </w:r>
      <w:hyperlink r:id="rId9" w:history="1">
        <w:r w:rsidRPr="009C33F9">
          <w:rPr>
            <w:rFonts w:ascii="Gill Sans MT" w:hAnsi="Gill Sans MT"/>
            <w:color w:val="467886" w:themeColor="hyperlink"/>
            <w:u w:val="single"/>
          </w:rPr>
          <w:t>https://creativecommons.org/licenses/by-nc-nd/4.0/</w:t>
        </w:r>
      </w:hyperlink>
      <w:r w:rsidRPr="009C33F9">
        <w:rPr>
          <w:rFonts w:ascii="Gill Sans MT" w:eastAsia="Gill Sans MT" w:hAnsi="Gill Sans MT" w:cs="Gill Sans MT"/>
          <w:color w:val="000000" w:themeColor="text1"/>
          <w:lang w:val="en-US"/>
        </w:rPr>
        <w:t>)</w:t>
      </w:r>
    </w:p>
    <w:p w14:paraId="6AD004D5" w14:textId="77777777" w:rsidR="00F93DB5" w:rsidRPr="00FD554B" w:rsidRDefault="00F93DB5" w:rsidP="00FD554B"/>
    <w:sectPr w:rsidR="00F93DB5" w:rsidRPr="00FD554B" w:rsidSect="00FD554B">
      <w:headerReference w:type="default" r:id="rId10"/>
      <w:footerReference w:type="default" r:id="rId11"/>
      <w:pgSz w:w="11906" w:h="16838"/>
      <w:pgMar w:top="1440" w:right="1440" w:bottom="1440" w:left="1440" w:header="708" w:footer="708" w:gutter="0"/>
      <w:pgNumType w:fmt="numberInDash" w:start="1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11721" w14:textId="77777777" w:rsidR="009C697C" w:rsidRDefault="009C697C" w:rsidP="001E5356">
      <w:r>
        <w:separator/>
      </w:r>
    </w:p>
  </w:endnote>
  <w:endnote w:type="continuationSeparator" w:id="0">
    <w:p w14:paraId="5754F6FB" w14:textId="77777777" w:rsidR="009C697C" w:rsidRDefault="009C697C" w:rsidP="001E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A57E8" w14:textId="1726C42D" w:rsidR="00F93DB5" w:rsidRPr="00F93DB5" w:rsidRDefault="00F93DB5" w:rsidP="00F93DB5">
    <w:pPr>
      <w:pStyle w:val="Footer"/>
      <w:tabs>
        <w:tab w:val="left" w:pos="8904"/>
      </w:tabs>
      <w:rPr>
        <w:rFonts w:ascii="Gill Sans MT" w:hAnsi="Gill Sans MT" w:cstheme="majorBidi"/>
        <w:color w:val="444444"/>
        <w:shd w:val="clear" w:color="auto" w:fill="FFFFFF"/>
      </w:rPr>
    </w:pPr>
    <w:r w:rsidRPr="000D083B">
      <w:rPr>
        <w:rFonts w:ascii="Gill Sans MT" w:hAnsi="Gill Sans MT"/>
      </w:rPr>
      <w:t>JASO</w:t>
    </w:r>
    <w:r w:rsidRPr="000D083B">
      <w:rPr>
        <w:rFonts w:ascii="Gill Sans MT" w:hAnsi="Gill Sans MT" w:cstheme="majorBidi"/>
      </w:rPr>
      <w:t xml:space="preserve"> </w:t>
    </w:r>
    <w:r w:rsidRPr="000D083B">
      <w:rPr>
        <w:rFonts w:ascii="Gill Sans MT" w:hAnsi="Gill Sans MT" w:cstheme="majorBidi"/>
        <w:color w:val="444444"/>
        <w:shd w:val="clear" w:color="auto" w:fill="FFFFFF"/>
      </w:rPr>
      <w:t>ISSN: 2040-1876 Vol XVI 2024</w:t>
    </w:r>
    <w:r w:rsidR="009A6811">
      <w:rPr>
        <w:rFonts w:ascii="Gill Sans MT" w:hAnsi="Gill Sans MT" w:cstheme="majorBidi"/>
        <w:color w:val="444444"/>
        <w:shd w:val="clear" w:color="auto" w:fill="FFFFFF"/>
      </w:rPr>
      <w:t xml:space="preserve"> </w:t>
    </w:r>
    <w:r>
      <w:rPr>
        <w:rFonts w:ascii="Gill Sans MT" w:hAnsi="Gill Sans MT" w:cstheme="majorBidi"/>
        <w:color w:val="444444"/>
        <w:shd w:val="clear" w:color="auto" w:fill="FFFFFF"/>
      </w:rPr>
      <w:t xml:space="preserve">                                                                      </w:t>
    </w:r>
    <w:r w:rsidRPr="009152B5">
      <w:rPr>
        <w:rFonts w:ascii="Gill Sans MT" w:hAnsi="Gill Sans MT"/>
      </w:rPr>
      <w:fldChar w:fldCharType="begin"/>
    </w:r>
    <w:r w:rsidRPr="009152B5">
      <w:rPr>
        <w:rFonts w:ascii="Gill Sans MT" w:hAnsi="Gill Sans MT"/>
      </w:rPr>
      <w:instrText xml:space="preserve"> PAGE   \* MERGEFORMAT </w:instrText>
    </w:r>
    <w:r w:rsidRPr="009152B5">
      <w:rPr>
        <w:rFonts w:ascii="Gill Sans MT" w:hAnsi="Gill Sans MT"/>
      </w:rPr>
      <w:fldChar w:fldCharType="separate"/>
    </w:r>
    <w:r>
      <w:rPr>
        <w:rFonts w:ascii="Gill Sans MT" w:hAnsi="Gill Sans MT"/>
      </w:rPr>
      <w:t>- 2 -</w:t>
    </w:r>
    <w:r w:rsidRPr="009152B5">
      <w:rPr>
        <w:rFonts w:ascii="Gill Sans MT" w:hAnsi="Gill Sans M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DB66E" w14:textId="77777777" w:rsidR="009C697C" w:rsidRDefault="009C697C" w:rsidP="001E5356">
      <w:r>
        <w:separator/>
      </w:r>
    </w:p>
  </w:footnote>
  <w:footnote w:type="continuationSeparator" w:id="0">
    <w:p w14:paraId="4067FB59" w14:textId="77777777" w:rsidR="009C697C" w:rsidRDefault="009C697C" w:rsidP="001E5356">
      <w:r>
        <w:continuationSeparator/>
      </w:r>
    </w:p>
  </w:footnote>
  <w:footnote w:id="1">
    <w:p w14:paraId="4274F4B8" w14:textId="77777777" w:rsidR="00FD554B" w:rsidRPr="001E5356" w:rsidRDefault="00FD554B" w:rsidP="00FD554B">
      <w:pPr>
        <w:pStyle w:val="FootnoteText"/>
        <w:rPr>
          <w:rFonts w:ascii="Gill Sans MT" w:hAnsi="Gill Sans MT"/>
        </w:rPr>
      </w:pPr>
      <w:r w:rsidRPr="001E5356">
        <w:rPr>
          <w:rStyle w:val="FootnoteReference"/>
          <w:rFonts w:ascii="Gill Sans MT" w:hAnsi="Gill Sans MT"/>
        </w:rPr>
        <w:footnoteRef/>
      </w:r>
      <w:r w:rsidRPr="001E5356">
        <w:rPr>
          <w:rFonts w:ascii="Gill Sans MT" w:hAnsi="Gill Sans MT"/>
        </w:rPr>
        <w:t xml:space="preserve"> MSc </w:t>
      </w:r>
      <w:r>
        <w:rPr>
          <w:rFonts w:ascii="Gill Sans MT" w:hAnsi="Gill Sans MT"/>
        </w:rPr>
        <w:t>c</w:t>
      </w:r>
      <w:r w:rsidRPr="001E5356">
        <w:rPr>
          <w:rFonts w:ascii="Gill Sans MT" w:hAnsi="Gill Sans MT"/>
        </w:rPr>
        <w:t xml:space="preserve">andidate in Migration Studies, University of Oxford. Email: </w:t>
      </w:r>
      <w:hyperlink r:id="rId1" w:history="1">
        <w:r w:rsidRPr="0009585E">
          <w:rPr>
            <w:rStyle w:val="Hyperlink"/>
            <w:rFonts w:ascii="Gill Sans MT" w:hAnsi="Gill Sans MT"/>
          </w:rPr>
          <w:t>yu.furukawa@sant.ox.ac.uk</w:t>
        </w:r>
      </w:hyperlink>
      <w:r>
        <w:rPr>
          <w:rFonts w:ascii="Gill Sans MT" w:hAnsi="Gill Sans M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C8743" w14:textId="28A0EEAF" w:rsidR="008D3AB1" w:rsidRPr="008D3AB1" w:rsidRDefault="008D3AB1" w:rsidP="008D3AB1">
    <w:pPr>
      <w:pStyle w:val="Header"/>
      <w:jc w:val="right"/>
      <w:rPr>
        <w:rFonts w:ascii="Gill Sans MT" w:hAnsi="Gill Sans MT"/>
        <w:i/>
        <w:iCs/>
        <w:lang w:val="fr-CA"/>
      </w:rPr>
    </w:pPr>
    <w:r w:rsidRPr="008D3AB1">
      <w:rPr>
        <w:rFonts w:ascii="Gill Sans MT" w:hAnsi="Gill Sans MT"/>
        <w:i/>
        <w:iCs/>
        <w:lang w:val="fr-CA"/>
      </w:rPr>
      <w:t xml:space="preserve">Book </w:t>
    </w:r>
    <w:proofErr w:type="spellStart"/>
    <w:r w:rsidRPr="008D3AB1">
      <w:rPr>
        <w:rFonts w:ascii="Gill Sans MT" w:hAnsi="Gill Sans MT"/>
        <w:i/>
        <w:iCs/>
        <w:lang w:val="fr-CA"/>
      </w:rPr>
      <w:t>reviews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56"/>
    <w:rsid w:val="00194A01"/>
    <w:rsid w:val="001E5356"/>
    <w:rsid w:val="00211A26"/>
    <w:rsid w:val="002942D2"/>
    <w:rsid w:val="00317F5C"/>
    <w:rsid w:val="00370AF2"/>
    <w:rsid w:val="003F1744"/>
    <w:rsid w:val="004950B6"/>
    <w:rsid w:val="005B1E8E"/>
    <w:rsid w:val="006B4369"/>
    <w:rsid w:val="00754D36"/>
    <w:rsid w:val="00783516"/>
    <w:rsid w:val="00792CF2"/>
    <w:rsid w:val="00866D70"/>
    <w:rsid w:val="008D3AB1"/>
    <w:rsid w:val="009615D8"/>
    <w:rsid w:val="009A6811"/>
    <w:rsid w:val="009C697C"/>
    <w:rsid w:val="00A5248E"/>
    <w:rsid w:val="00A85FC9"/>
    <w:rsid w:val="00AD202C"/>
    <w:rsid w:val="00CB4DCD"/>
    <w:rsid w:val="00D27AA8"/>
    <w:rsid w:val="00D4320B"/>
    <w:rsid w:val="00D73320"/>
    <w:rsid w:val="00E81212"/>
    <w:rsid w:val="00F93DB5"/>
    <w:rsid w:val="00FA72A7"/>
    <w:rsid w:val="00FD554B"/>
    <w:rsid w:val="00FE6F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4CCC9"/>
  <w15:chartTrackingRefBased/>
  <w15:docId w15:val="{F3FF20D8-95FA-4BAC-8F6F-ED3A92F8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54B"/>
  </w:style>
  <w:style w:type="paragraph" w:styleId="Heading1">
    <w:name w:val="heading 1"/>
    <w:basedOn w:val="Normal"/>
    <w:next w:val="Normal"/>
    <w:link w:val="Heading1Char"/>
    <w:uiPriority w:val="9"/>
    <w:qFormat/>
    <w:rsid w:val="001E5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35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35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E535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E535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E535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E535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E535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3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53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35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35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E535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E53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E53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E53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E53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E53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35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35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E53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5356"/>
    <w:rPr>
      <w:i/>
      <w:iCs/>
      <w:color w:val="404040" w:themeColor="text1" w:themeTint="BF"/>
    </w:rPr>
  </w:style>
  <w:style w:type="paragraph" w:styleId="ListParagraph">
    <w:name w:val="List Paragraph"/>
    <w:basedOn w:val="Normal"/>
    <w:uiPriority w:val="34"/>
    <w:qFormat/>
    <w:rsid w:val="001E5356"/>
    <w:pPr>
      <w:ind w:left="720"/>
      <w:contextualSpacing/>
    </w:pPr>
  </w:style>
  <w:style w:type="character" w:styleId="IntenseEmphasis">
    <w:name w:val="Intense Emphasis"/>
    <w:basedOn w:val="DefaultParagraphFont"/>
    <w:uiPriority w:val="21"/>
    <w:qFormat/>
    <w:rsid w:val="001E5356"/>
    <w:rPr>
      <w:i/>
      <w:iCs/>
      <w:color w:val="0F4761" w:themeColor="accent1" w:themeShade="BF"/>
    </w:rPr>
  </w:style>
  <w:style w:type="paragraph" w:styleId="IntenseQuote">
    <w:name w:val="Intense Quote"/>
    <w:basedOn w:val="Normal"/>
    <w:next w:val="Normal"/>
    <w:link w:val="IntenseQuoteChar"/>
    <w:uiPriority w:val="30"/>
    <w:qFormat/>
    <w:rsid w:val="001E5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356"/>
    <w:rPr>
      <w:i/>
      <w:iCs/>
      <w:color w:val="0F4761" w:themeColor="accent1" w:themeShade="BF"/>
    </w:rPr>
  </w:style>
  <w:style w:type="character" w:styleId="IntenseReference">
    <w:name w:val="Intense Reference"/>
    <w:basedOn w:val="DefaultParagraphFont"/>
    <w:uiPriority w:val="32"/>
    <w:qFormat/>
    <w:rsid w:val="001E5356"/>
    <w:rPr>
      <w:b/>
      <w:bCs/>
      <w:smallCaps/>
      <w:color w:val="0F4761" w:themeColor="accent1" w:themeShade="BF"/>
      <w:spacing w:val="5"/>
    </w:rPr>
  </w:style>
  <w:style w:type="paragraph" w:styleId="FootnoteText">
    <w:name w:val="footnote text"/>
    <w:basedOn w:val="Normal"/>
    <w:link w:val="FootnoteTextChar"/>
    <w:uiPriority w:val="99"/>
    <w:unhideWhenUsed/>
    <w:rsid w:val="001E5356"/>
    <w:rPr>
      <w:sz w:val="20"/>
      <w:szCs w:val="20"/>
    </w:rPr>
  </w:style>
  <w:style w:type="character" w:customStyle="1" w:styleId="FootnoteTextChar">
    <w:name w:val="Footnote Text Char"/>
    <w:basedOn w:val="DefaultParagraphFont"/>
    <w:link w:val="FootnoteText"/>
    <w:uiPriority w:val="99"/>
    <w:rsid w:val="001E5356"/>
    <w:rPr>
      <w:sz w:val="20"/>
      <w:szCs w:val="20"/>
    </w:rPr>
  </w:style>
  <w:style w:type="character" w:styleId="FootnoteReference">
    <w:name w:val="footnote reference"/>
    <w:basedOn w:val="DefaultParagraphFont"/>
    <w:uiPriority w:val="99"/>
    <w:unhideWhenUsed/>
    <w:rsid w:val="001E5356"/>
    <w:rPr>
      <w:vertAlign w:val="superscript"/>
    </w:rPr>
  </w:style>
  <w:style w:type="character" w:styleId="Hyperlink">
    <w:name w:val="Hyperlink"/>
    <w:basedOn w:val="DefaultParagraphFont"/>
    <w:uiPriority w:val="99"/>
    <w:unhideWhenUsed/>
    <w:rsid w:val="001E5356"/>
    <w:rPr>
      <w:color w:val="467886" w:themeColor="hyperlink"/>
      <w:u w:val="single"/>
    </w:rPr>
  </w:style>
  <w:style w:type="character" w:styleId="UnresolvedMention">
    <w:name w:val="Unresolved Mention"/>
    <w:basedOn w:val="DefaultParagraphFont"/>
    <w:uiPriority w:val="99"/>
    <w:semiHidden/>
    <w:unhideWhenUsed/>
    <w:rsid w:val="001E5356"/>
    <w:rPr>
      <w:color w:val="605E5C"/>
      <w:shd w:val="clear" w:color="auto" w:fill="E1DFDD"/>
    </w:rPr>
  </w:style>
  <w:style w:type="paragraph" w:styleId="Header">
    <w:name w:val="header"/>
    <w:basedOn w:val="Normal"/>
    <w:link w:val="HeaderChar"/>
    <w:uiPriority w:val="99"/>
    <w:unhideWhenUsed/>
    <w:rsid w:val="00F93DB5"/>
    <w:pPr>
      <w:tabs>
        <w:tab w:val="center" w:pos="4513"/>
        <w:tab w:val="right" w:pos="9026"/>
      </w:tabs>
    </w:pPr>
  </w:style>
  <w:style w:type="character" w:customStyle="1" w:styleId="HeaderChar">
    <w:name w:val="Header Char"/>
    <w:basedOn w:val="DefaultParagraphFont"/>
    <w:link w:val="Header"/>
    <w:uiPriority w:val="99"/>
    <w:rsid w:val="00F93DB5"/>
  </w:style>
  <w:style w:type="paragraph" w:styleId="Footer">
    <w:name w:val="footer"/>
    <w:basedOn w:val="Normal"/>
    <w:link w:val="FooterChar"/>
    <w:uiPriority w:val="99"/>
    <w:unhideWhenUsed/>
    <w:rsid w:val="00F93DB5"/>
    <w:pPr>
      <w:tabs>
        <w:tab w:val="center" w:pos="4513"/>
        <w:tab w:val="right" w:pos="9026"/>
      </w:tabs>
    </w:pPr>
  </w:style>
  <w:style w:type="character" w:customStyle="1" w:styleId="FooterChar">
    <w:name w:val="Footer Char"/>
    <w:basedOn w:val="DefaultParagraphFont"/>
    <w:link w:val="Footer"/>
    <w:uiPriority w:val="99"/>
    <w:rsid w:val="00F93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nd/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yu.furukawa@sant.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7616-030D-4740-ABA7-41F283D9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Chihab El Khachab</dc:creator>
  <cp:keywords/>
  <dc:description/>
  <cp:lastModifiedBy>Chihab El Khachab</cp:lastModifiedBy>
  <cp:revision>9</cp:revision>
  <dcterms:created xsi:type="dcterms:W3CDTF">2024-12-09T00:32:00Z</dcterms:created>
  <dcterms:modified xsi:type="dcterms:W3CDTF">2024-12-13T20:08:00Z</dcterms:modified>
</cp:coreProperties>
</file>